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45636" w:rsidRDefault="00D3310B" w:rsidP="00D3310B">
      <w:pPr>
        <w:pStyle w:val="berschrift1"/>
      </w:pPr>
      <w:r>
        <w:rPr>
          <w:noProof/>
          <w:lang w:eastAsia="de-DE"/>
        </w:rPr>
        <w:drawing>
          <wp:anchor distT="0" distB="0" distL="114300" distR="114300" simplePos="0" relativeHeight="251649536" behindDoc="1" locked="0" layoutInCell="1" allowOverlap="1" wp14:anchorId="0B145C40" wp14:editId="2723BF58">
            <wp:simplePos x="0" y="0"/>
            <wp:positionH relativeFrom="column">
              <wp:posOffset>0</wp:posOffset>
            </wp:positionH>
            <wp:positionV relativeFrom="paragraph">
              <wp:posOffset>147431</wp:posOffset>
            </wp:positionV>
            <wp:extent cx="5689600" cy="3200400"/>
            <wp:effectExtent l="228600" t="266700" r="234950" b="285750"/>
            <wp:wrapTopAndBottom/>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olie.png"/>
                    <pic:cNvPicPr/>
                  </pic:nvPicPr>
                  <pic:blipFill>
                    <a:blip r:embed="rId8">
                      <a:extLst>
                        <a:ext uri="{28A0092B-C50C-407E-A947-70E740481C1C}">
                          <a14:useLocalDpi xmlns:a14="http://schemas.microsoft.com/office/drawing/2010/main" val="0"/>
                        </a:ext>
                      </a:extLst>
                    </a:blip>
                    <a:stretch>
                      <a:fillRect/>
                    </a:stretch>
                  </pic:blipFill>
                  <pic:spPr>
                    <a:xfrm>
                      <a:off x="0" y="0"/>
                      <a:ext cx="5689600" cy="320040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14:sizeRelH relativeFrom="margin">
              <wp14:pctWidth>0</wp14:pctWidth>
            </wp14:sizeRelH>
            <wp14:sizeRelV relativeFrom="margin">
              <wp14:pctHeight>0</wp14:pctHeight>
            </wp14:sizeRelV>
          </wp:anchor>
        </w:drawing>
      </w:r>
      <w:r w:rsidR="00345636">
        <w:t>Vorwort</w:t>
      </w:r>
    </w:p>
    <w:p w:rsidR="00345636" w:rsidRDefault="00345636" w:rsidP="00345636">
      <w:r>
        <w:t>Wer ist Anwender? Warum soll er (oder sie</w:t>
      </w:r>
      <w:r w:rsidR="00AD6547">
        <w:rPr>
          <w:rStyle w:val="Funotenzeichen"/>
        </w:rPr>
        <w:footnoteReference w:id="1"/>
      </w:r>
      <w:r>
        <w:t>) geschult werden? Wie oft? Und mit welchen Medien? Um diese Fragen</w:t>
      </w:r>
      <w:r w:rsidR="0006478C">
        <w:t xml:space="preserve"> und noch viel mehr Antworten</w:t>
      </w:r>
      <w:r>
        <w:t xml:space="preserve"> geht es in diesem Vortrag.</w:t>
      </w:r>
      <w:r w:rsidR="0006478C">
        <w:t xml:space="preserve"> Dabei möchte ich mich gar nicht auf die Anwenderschulungen zu allgemeinen Themen wie dem Erlernen von Access an sich beschränken. Auch die Erläuterung und anschließende Einführung einer konkreten Datenbank braucht meistens eine Information (sprich: Schulung) der Anwender.</w:t>
      </w:r>
    </w:p>
    <w:p w:rsidR="0006478C" w:rsidRDefault="00F44AFD" w:rsidP="00D3310B">
      <w:pPr>
        <w:pStyle w:val="berschrift1"/>
      </w:pPr>
      <w:r>
        <w:t>Warum</w:t>
      </w:r>
      <w:r w:rsidR="00C91522">
        <w:t xml:space="preserve"> überhaupt eine Schulung</w:t>
      </w:r>
      <w:r>
        <w:t>?</w:t>
      </w:r>
    </w:p>
    <w:p w:rsidR="005557AF" w:rsidRDefault="005557AF" w:rsidP="005557AF">
      <w:r>
        <w:t>Wenn ein Seminarveranstalter Euch für eine Schulung bucht, stellt sich die Frage nach dem "warum?" scheinbar nicht. Aber auch dann gibt es Teilnehmer, die beispielsweise kurz vor der Pensionierung stehen und gehofft hatten, um das Erlernen eines neuen Programms noch herumzukommen.</w:t>
      </w:r>
    </w:p>
    <w:p w:rsidR="005557AF" w:rsidRDefault="005557AF" w:rsidP="005557AF">
      <w:r>
        <w:t>Die einfache Vermu</w:t>
      </w:r>
      <w:r w:rsidR="004C2811">
        <w:t>tung, dass alle</w:t>
      </w:r>
      <w:r>
        <w:t xml:space="preserve"> </w:t>
      </w:r>
      <w:r w:rsidR="004C2811">
        <w:t>Eure Teilnehmer</w:t>
      </w:r>
      <w:r>
        <w:t xml:space="preserve"> auch hoch motiviert sind, etwas Neues zu lernen, ist also gar nicht so richtig, wie Ihr vielleicht denkt. Vor allem aber stellt sich die Frage</w:t>
      </w:r>
      <w:r w:rsidR="004C2811">
        <w:t xml:space="preserve"> nach dem "warum?"</w:t>
      </w:r>
      <w:r>
        <w:t>, wenn Ihr beispielsweise eine Schulung macht für eine Datenbank, die Ihr für diese Firma erstellt habt.</w:t>
      </w:r>
    </w:p>
    <w:p w:rsidR="004C2811" w:rsidRDefault="004C2811" w:rsidP="005557AF">
      <w:r>
        <w:t xml:space="preserve">Eigentlich habt Ihr die Benutzeroberfläche dieser Datenbank ja so intuitiv und selbsterklärend gestaltet, dass eine Anwenderschulung dafür gar nicht notwendig ist, oder? Natürlich braucht jede größere Datenbank für komplexe Formulare besondere Informationen, aber diese sollten nicht nachträglich in einer Schulung vermittelt werden, sondern möglichst </w:t>
      </w:r>
      <w:r w:rsidR="00CC4656">
        <w:t>schon während der Benutzung</w:t>
      </w:r>
      <w:r>
        <w:t>.</w:t>
      </w:r>
    </w:p>
    <w:p w:rsidR="004C2811" w:rsidRDefault="00CC4656" w:rsidP="005557AF">
      <w:r>
        <w:t>Das</w:t>
      </w:r>
      <w:r w:rsidR="004C2811">
        <w:t xml:space="preserve"> im Download enthaltene Beispiel zeigt verschiedene Möglichkeiten, wie Informationen schon innerhalb der </w:t>
      </w:r>
      <w:r>
        <w:t>Access-</w:t>
      </w:r>
      <w:r w:rsidR="004C2811">
        <w:t>Datenbank vermittelt werden können:</w:t>
      </w:r>
    </w:p>
    <w:p w:rsidR="004C2811" w:rsidRDefault="004C2811" w:rsidP="004C2811">
      <w:pPr>
        <w:pStyle w:val="meineListe"/>
      </w:pPr>
      <w:r w:rsidRPr="000B289E">
        <w:rPr>
          <w:rStyle w:val="Wichtig"/>
        </w:rPr>
        <w:lastRenderedPageBreak/>
        <w:t>QuickInfo</w:t>
      </w:r>
      <w:r>
        <w:t>: Die in jedem Access-Eingabe-Steuerelement enthaltene Eigenschaft "ControlTipText" zeigt automatisch ein QuickInfo, also einen gelb hinterlegten Text, der beim MouseOver sichtbar ist. Das benötigt keine VBA-Programmierung.</w:t>
      </w:r>
    </w:p>
    <w:p w:rsidR="004C2811" w:rsidRDefault="00CC4656" w:rsidP="004C2811">
      <w:pPr>
        <w:pStyle w:val="meineListe"/>
      </w:pPr>
      <w:r>
        <w:rPr>
          <w:noProof/>
          <w:lang w:eastAsia="de-DE"/>
        </w:rPr>
        <w:drawing>
          <wp:anchor distT="0" distB="0" distL="114300" distR="114300" simplePos="0" relativeHeight="251656704" behindDoc="0" locked="0" layoutInCell="1" allowOverlap="1">
            <wp:simplePos x="0" y="0"/>
            <wp:positionH relativeFrom="column">
              <wp:posOffset>2794838</wp:posOffset>
            </wp:positionH>
            <wp:positionV relativeFrom="paragraph">
              <wp:posOffset>62865</wp:posOffset>
            </wp:positionV>
            <wp:extent cx="3289719" cy="1926618"/>
            <wp:effectExtent l="0" t="0" r="6350" b="0"/>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ilfeDB0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89719" cy="1926618"/>
                    </a:xfrm>
                    <a:prstGeom prst="rect">
                      <a:avLst/>
                    </a:prstGeom>
                    <a:effectLst/>
                  </pic:spPr>
                </pic:pic>
              </a:graphicData>
            </a:graphic>
          </wp:anchor>
        </w:drawing>
      </w:r>
      <w:r w:rsidR="004C2811" w:rsidRPr="000B289E">
        <w:rPr>
          <w:rStyle w:val="Wichtig"/>
        </w:rPr>
        <w:t>Dynamische Beschriftungen</w:t>
      </w:r>
      <w:r w:rsidR="004C2811">
        <w:t>: Entweder (wie auf Webformularen üblich) direkt neben dem Eingabefeld oder platzsparend auf einem gemeinsamen Beschriftungsfeld kann eine kleine VBA-Prozedur passende Erläuterungen anzeigen. Diese können entweder für jedes Steuerelement in seiner "Marke"-Eigenschaft oder allgemein in einer Tabelle hinterlegt sein.</w:t>
      </w:r>
    </w:p>
    <w:p w:rsidR="004C2811" w:rsidRDefault="004C2811" w:rsidP="004C2811">
      <w:pPr>
        <w:pStyle w:val="meineListe"/>
      </w:pPr>
      <w:r w:rsidRPr="000B289E">
        <w:rPr>
          <w:rStyle w:val="Wichtig"/>
        </w:rPr>
        <w:t>Hilfe-Schaltfläche</w:t>
      </w:r>
      <w:r>
        <w:t>: Weniger VBA-Aufwand, aber auch weniger spezifische Anpassungen ermöglicht eine Hilfe-Schaltfläche, die wahlweise auf dem Formular selber oder im Menüband liegt.</w:t>
      </w:r>
    </w:p>
    <w:p w:rsidR="003C2490" w:rsidRDefault="003C2490" w:rsidP="003C2490">
      <w:pPr>
        <w:pStyle w:val="meineListe"/>
      </w:pPr>
      <w:r w:rsidRPr="000B289E">
        <w:rPr>
          <w:rStyle w:val="Wichtig"/>
        </w:rPr>
        <w:t>F1-Taste</w:t>
      </w:r>
      <w:r>
        <w:t xml:space="preserve">: Statt einer Hilfe-Schaltfläche geht es Windows-typischer auch mit der F1-Taste. Mit "AutoKeys"-Makro ist das zwar einfach zu programmieren, aber für den Benutzer nicht erkennbar. Die </w:t>
      </w:r>
      <w:r w:rsidR="000B289E">
        <w:t xml:space="preserve">technischen </w:t>
      </w:r>
      <w:r>
        <w:t>Möglichkeiten entsprechen der Hilfe-Schaltfläche.</w:t>
      </w:r>
    </w:p>
    <w:p w:rsidR="003C2490" w:rsidRDefault="000B289E" w:rsidP="000B289E">
      <w:pPr>
        <w:pStyle w:val="berschrift2"/>
      </w:pPr>
      <w:r>
        <w:t>Hilfe-Datei(en)</w:t>
      </w:r>
    </w:p>
    <w:p w:rsidR="000B289E" w:rsidRDefault="00BB5143" w:rsidP="000B289E">
      <w:r>
        <w:rPr>
          <w:noProof/>
          <w:lang w:eastAsia="de-DE"/>
        </w:rPr>
        <w:drawing>
          <wp:anchor distT="0" distB="0" distL="114300" distR="114300" simplePos="0" relativeHeight="251661824" behindDoc="0" locked="0" layoutInCell="1" allowOverlap="1">
            <wp:simplePos x="0" y="0"/>
            <wp:positionH relativeFrom="column">
              <wp:posOffset>-330835</wp:posOffset>
            </wp:positionH>
            <wp:positionV relativeFrom="paragraph">
              <wp:posOffset>372948</wp:posOffset>
            </wp:positionV>
            <wp:extent cx="1918970" cy="1287780"/>
            <wp:effectExtent l="0" t="0" r="5080" b="7620"/>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ilfe2Doc.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18970" cy="1287780"/>
                    </a:xfrm>
                    <a:prstGeom prst="rect">
                      <a:avLst/>
                    </a:prstGeom>
                  </pic:spPr>
                </pic:pic>
              </a:graphicData>
            </a:graphic>
            <wp14:sizeRelH relativeFrom="margin">
              <wp14:pctWidth>0</wp14:pctWidth>
            </wp14:sizeRelH>
            <wp14:sizeRelV relativeFrom="margin">
              <wp14:pctHeight>0</wp14:pctHeight>
            </wp14:sizeRelV>
          </wp:anchor>
        </w:drawing>
      </w:r>
      <w:r w:rsidR="000B289E">
        <w:t>Mit dem Klick auf die Schaltfläche kann eine Access-interne Information oder beispielsweise eine externe Hilfe aufgerufen werden.</w:t>
      </w:r>
      <w:r w:rsidR="00135422">
        <w:t xml:space="preserve"> Dort lassen sich viel umfangreichere und detaillierte Informationen ablegen als innerhalb der Datenbank.</w:t>
      </w:r>
    </w:p>
    <w:p w:rsidR="000B289E" w:rsidRDefault="000B289E" w:rsidP="000B289E">
      <w:r>
        <w:t xml:space="preserve">Ich habe schon verschiedene Versuche gemacht, diese externe Hilfe statt einer unveränderlichen Datei im hlp- oder chm-Format lieber als offene Word-Datei zu erstellen. Dabei habe ich eine zentrale Version mit Informationen von mir und eine lokale Version mit der Möglichkeit von Benutzeranpassungen vorgesehen. Das hat aber nach meiner Erfahrung </w:t>
      </w:r>
      <w:r w:rsidR="00AA6870">
        <w:t xml:space="preserve">leider </w:t>
      </w:r>
      <w:r>
        <w:t xml:space="preserve">noch nie jemand </w:t>
      </w:r>
      <w:r w:rsidR="00AA6870">
        <w:t xml:space="preserve">wirklich </w:t>
      </w:r>
      <w:r>
        <w:t>gemacht.</w:t>
      </w:r>
    </w:p>
    <w:p w:rsidR="00437CFC" w:rsidRDefault="00437CFC" w:rsidP="00437CFC">
      <w:pPr>
        <w:pStyle w:val="berschrift1"/>
      </w:pPr>
      <w:r>
        <w:t>Schulungstypen</w:t>
      </w:r>
    </w:p>
    <w:p w:rsidR="006D0E9B" w:rsidRPr="006D0E9B" w:rsidRDefault="006D0E9B" w:rsidP="006D0E9B">
      <w:r>
        <w:t>Eigentlich wäre also gar keine Schulung die beste Lösung, wenn das Programm oder die Datenbank selbsterklärend wäre. Aber der Schulungsaufwand wird deutlich reduziert, wenn möglichst wenig bleibt, was noch einer Erklärung bedarf.</w:t>
      </w:r>
    </w:p>
    <w:p w:rsidR="00437CFC" w:rsidRDefault="00437CFC" w:rsidP="00437CFC">
      <w:pPr>
        <w:pStyle w:val="berschrift2"/>
      </w:pPr>
      <w:r>
        <w:t>Lern-Videos</w:t>
      </w:r>
    </w:p>
    <w:p w:rsidR="00437CFC" w:rsidRDefault="00437CFC" w:rsidP="00437CFC">
      <w:r>
        <w:t>Eine Schulung ist nicht nur mit persönlicher Anwesenheit möglich, sondern auch als Lern-Video. Das erfordert zwar einen deutlich höheren Anfangsaufwand bei der Erstellung, kann aber anschließend von viel mehr Teilnehmern und zu beliebiger Zeit genutzt werden. Außerdem werden Reisekosten und evtl. Übernachtungsaufwand gespart, weil die Videos am eigenen PC gesehen werden können.</w:t>
      </w:r>
    </w:p>
    <w:p w:rsidR="00437CFC" w:rsidRDefault="00437CFC" w:rsidP="00437CFC">
      <w:r>
        <w:t>Typische Screen-Recorder-Software zum Aufnehmen des Bildschirms und der Off-Texte sind Camtasia, BandiCam, SnagIt oder TinyTake. Es ist hilfreich, wenn die Videos</w:t>
      </w:r>
      <w:r w:rsidR="00135422">
        <w:t xml:space="preserve"> vom Programm</w:t>
      </w:r>
      <w:r>
        <w:t xml:space="preserve"> nach jeder Aufnahme direkt automatisch benannt und gespeichert werden. Dadurch können unbrauchbare Auf</w:t>
      </w:r>
      <w:r>
        <w:lastRenderedPageBreak/>
        <w:t>nahmen</w:t>
      </w:r>
      <w:r w:rsidR="00FA09DB">
        <w:t xml:space="preserve"> bequem</w:t>
      </w:r>
      <w:r>
        <w:t xml:space="preserve"> später gelöscht werden, ohne dass jedes Mal vor der nächsten Aufnahme aufgeräumt werden muss.</w:t>
      </w:r>
    </w:p>
    <w:p w:rsidR="00437CFC" w:rsidRDefault="00437CFC" w:rsidP="00437CFC">
      <w:r>
        <w:t>Die Tastenkürzel zum Aufnehmen und Stoppen müssen veränderlich sein. Ansonsten würde z.B. die F9-Taste als Standard-Stop in BandiCam nicht zeigen, wie in Word Felder aktualisiert werden, sondern nur die Aufnahme stoppen. Manchmal greifen die Screen-Recorder (zwangsläufig) so tief in Betriebssystem-Funktionen ein, dass Fähigkeiten des gezeigten Programms gestört werden. Das lässt sich nur ausprobieren.</w:t>
      </w:r>
    </w:p>
    <w:p w:rsidR="00437CFC" w:rsidRDefault="00437CFC" w:rsidP="00437CFC">
      <w:r>
        <w:rPr>
          <w:noProof/>
          <w:lang w:eastAsia="de-DE"/>
        </w:rPr>
        <w:drawing>
          <wp:anchor distT="0" distB="0" distL="114300" distR="114300" simplePos="0" relativeHeight="251657728" behindDoc="0" locked="0" layoutInCell="1" allowOverlap="1" wp14:anchorId="5B0BCA9E" wp14:editId="6E68ED95">
            <wp:simplePos x="0" y="0"/>
            <wp:positionH relativeFrom="column">
              <wp:posOffset>3885565</wp:posOffset>
            </wp:positionH>
            <wp:positionV relativeFrom="paragraph">
              <wp:posOffset>50165</wp:posOffset>
            </wp:positionV>
            <wp:extent cx="2123440" cy="3185795"/>
            <wp:effectExtent l="0" t="0" r="0" b="0"/>
            <wp:wrapSquare wrapText="bothSides"/>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tudio.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23440" cy="3185795"/>
                    </a:xfrm>
                    <a:prstGeom prst="rect">
                      <a:avLst/>
                    </a:prstGeom>
                    <a:effectLst/>
                  </pic:spPr>
                </pic:pic>
              </a:graphicData>
            </a:graphic>
            <wp14:sizeRelH relativeFrom="margin">
              <wp14:pctWidth>0</wp14:pctWidth>
            </wp14:sizeRelH>
            <wp14:sizeRelV relativeFrom="margin">
              <wp14:pctHeight>0</wp14:pctHeight>
            </wp14:sizeRelV>
          </wp:anchor>
        </w:drawing>
      </w:r>
      <w:r>
        <w:t>Wenn die Aufnahmen nicht in den Studios einer spezialisierten Firma (z.B. für video2brain</w:t>
      </w:r>
      <w:r w:rsidR="007E5029">
        <w:t>/LinkedIn Learning</w:t>
      </w:r>
      <w:r>
        <w:t xml:space="preserve"> als größter Anbieter Europas) erfolgen, sind einige Voraussetzungen zu beachten. Am wichtigsten ist: Ruhe. Hupende Autos, bellende Nachbarshunde oder Erschütterungen durch vorbeifahrende Busse lassen sich nicht aus der Aufnahme herausfiltern. Eine Nachbearbeitung sollte außerdem Husten, Räuspern, Versprecher oder abgebrochene Sätze herausschneiden.</w:t>
      </w:r>
    </w:p>
    <w:p w:rsidR="00960688" w:rsidRDefault="00437CFC" w:rsidP="00437CFC">
      <w:r>
        <w:t>Für eine bessere Verständlichkeit ist ein echtes Ton-Studio mit Nachhall-Reduktion (mit Schaumstoff an den Wänden) perfekt, ansonsten lässt sich das mit Eierkartons an den Wänd</w:t>
      </w:r>
      <w:r w:rsidR="00960688">
        <w:t>en einigermaßen gut nachbilden.</w:t>
      </w:r>
    </w:p>
    <w:p w:rsidR="00437CFC" w:rsidRPr="008A4D73" w:rsidRDefault="00437CFC" w:rsidP="00437CFC">
      <w:r>
        <w:t>Das Hauptproblem ist beim Eigenbau, dass auch Fensterritzen und Schlüssellöcher komplett schalldicht abgedichtet werden müssen. Das bedeutet automatisch, dass der Raum auch l</w:t>
      </w:r>
      <w:r w:rsidR="00BB5143">
        <w:t>uftdicht ist und höchstens 5-10 </w:t>
      </w:r>
      <w:r>
        <w:t>Minuten bis zum nächsten Lüften genutzt werden kann. Professionelle Tonstudios haben eine geräuschfreie Lüftung.</w:t>
      </w:r>
    </w:p>
    <w:p w:rsidR="00437CFC" w:rsidRDefault="00437CFC" w:rsidP="00437CFC">
      <w:pPr>
        <w:pStyle w:val="berschrift2"/>
      </w:pPr>
      <w:r>
        <w:t>Präsenzseminar</w:t>
      </w:r>
    </w:p>
    <w:p w:rsidR="00437CFC" w:rsidRDefault="00437CFC" w:rsidP="00437CFC">
      <w:r>
        <w:t>Anders als bei der praktisch unendlichen Reichweite eines Video-Trainings sind die Teilnehmerzahlen bei Anwenderschulungen zwangsläufig begrenzt, nicht nur von der Raumgröße, sondern vor allem vom Typ der Veranstaltung.</w:t>
      </w:r>
    </w:p>
    <w:p w:rsidR="00437CFC" w:rsidRDefault="00D55703" w:rsidP="00437CFC">
      <w:r>
        <w:rPr>
          <w:noProof/>
          <w:lang w:eastAsia="de-DE"/>
        </w:rPr>
        <w:drawing>
          <wp:anchor distT="0" distB="0" distL="114300" distR="114300" simplePos="0" relativeHeight="251666944" behindDoc="0" locked="0" layoutInCell="1" allowOverlap="1">
            <wp:simplePos x="0" y="0"/>
            <wp:positionH relativeFrom="column">
              <wp:posOffset>-198755</wp:posOffset>
            </wp:positionH>
            <wp:positionV relativeFrom="paragraph">
              <wp:posOffset>38413</wp:posOffset>
            </wp:positionV>
            <wp:extent cx="2856865" cy="1822450"/>
            <wp:effectExtent l="19050" t="19050" r="19685" b="25400"/>
            <wp:wrapSquare wrapText="bothSides"/>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AEK18.png"/>
                    <pic:cNvPicPr/>
                  </pic:nvPicPr>
                  <pic:blipFill>
                    <a:blip r:embed="rId12">
                      <a:extLst>
                        <a:ext uri="{28A0092B-C50C-407E-A947-70E740481C1C}">
                          <a14:useLocalDpi xmlns:a14="http://schemas.microsoft.com/office/drawing/2010/main" val="0"/>
                        </a:ext>
                      </a:extLst>
                    </a:blip>
                    <a:stretch>
                      <a:fillRect/>
                    </a:stretch>
                  </pic:blipFill>
                  <pic:spPr>
                    <a:xfrm>
                      <a:off x="0" y="0"/>
                      <a:ext cx="2856865" cy="1822450"/>
                    </a:xfrm>
                    <a:prstGeom prst="rect">
                      <a:avLst/>
                    </a:prstGeom>
                    <a:ln>
                      <a:solidFill>
                        <a:schemeClr val="bg1">
                          <a:lumMod val="50000"/>
                        </a:schemeClr>
                      </a:solidFill>
                    </a:ln>
                    <a:effectLst/>
                  </pic:spPr>
                </pic:pic>
              </a:graphicData>
            </a:graphic>
            <wp14:sizeRelH relativeFrom="margin">
              <wp14:pctWidth>0</wp14:pctWidth>
            </wp14:sizeRelH>
            <wp14:sizeRelV relativeFrom="margin">
              <wp14:pctHeight>0</wp14:pctHeight>
            </wp14:sizeRelV>
          </wp:anchor>
        </w:drawing>
      </w:r>
      <w:r w:rsidR="00437CFC">
        <w:t>Die größte Veranstaltung ist eine Vorlesung, wie sie auch hier bei der AEK typischerweise stattfindet. Eine(r) steht vorne und redet, zeigt, singt,</w:t>
      </w:r>
      <w:r w:rsidR="00BB5143">
        <w:t xml:space="preserve"> tanzt oder macht etwas a</w:t>
      </w:r>
      <w:r w:rsidR="00FA09DB">
        <w:t>nderes</w:t>
      </w:r>
      <w:r w:rsidR="00437CFC">
        <w:t>, während die Teilnehmer passiv sitzen und zuhören/zuschauen (oder auch nicht).</w:t>
      </w:r>
    </w:p>
    <w:p w:rsidR="00437CFC" w:rsidRDefault="00437CFC" w:rsidP="007C6C51">
      <w:r>
        <w:t>Dieser Typ Vorlesung ist sehr verbreitet für Anwenderschulungen, obwohl das rein passive Aufnehmen des Wissens nachweislich wenig erfolgreich ist. Deswegen wird das oft kombiniert mit dem zweiten Typ, der Kleingruppen-Übung. Dabei ist d</w:t>
      </w:r>
      <w:r w:rsidR="003D1677">
        <w:t>ie Gruppengröße auf eher nur 12 </w:t>
      </w:r>
      <w:r>
        <w:t xml:space="preserve">Teilnehmer begrenzt, nämlich 3 Reihen zu je 4 Plätzen. Hinter der dritten Reihe ist die Entfernung zur Leinwand oder zum Flipchart zu groß, um noch alles lesen zu können. Mehr als 4 Plätze je Reihe bedeuten, dass </w:t>
      </w:r>
      <w:r w:rsidR="003D1677">
        <w:t>Ihr Euch</w:t>
      </w:r>
      <w:r>
        <w:t xml:space="preserve"> beim Betreuen einzelner Bildschirme durch unnötig lange Stuhlreihen quetschen musst, was die Teilnehmer deutlich stört.</w:t>
      </w:r>
    </w:p>
    <w:p w:rsidR="00437CFC" w:rsidRDefault="003D1677" w:rsidP="00437CFC">
      <w:r>
        <w:lastRenderedPageBreak/>
        <w:t>Besser sind aber 5-9 </w:t>
      </w:r>
      <w:r w:rsidR="00437CFC">
        <w:t xml:space="preserve">Teilnehmer, damit sich der </w:t>
      </w:r>
      <w:r w:rsidR="00AD6547">
        <w:t>Trainer</w:t>
      </w:r>
      <w:r w:rsidR="00437CFC">
        <w:t xml:space="preserve"> noch ausreichend mit allen beschäftigen und deren Probleme/Fragen behandeln kann. Sonst warten</w:t>
      </w:r>
      <w:r w:rsidR="00AD6547">
        <w:t xml:space="preserve"> typischerweise</w:t>
      </w:r>
      <w:r w:rsidR="00437CFC">
        <w:t xml:space="preserve"> 11</w:t>
      </w:r>
      <w:r w:rsidR="007671CA">
        <w:t xml:space="preserve"> von 12</w:t>
      </w:r>
      <w:r w:rsidR="00437CFC">
        <w:t> Teilnehmer</w:t>
      </w:r>
      <w:r w:rsidR="007671CA">
        <w:t>n</w:t>
      </w:r>
      <w:r w:rsidR="00437CFC">
        <w:t xml:space="preserve"> immer auf den langsamsten, bis der oft nur einfach wenigstens alles abgetippt hat.</w:t>
      </w:r>
    </w:p>
    <w:p w:rsidR="00437CFC" w:rsidRDefault="00437CFC" w:rsidP="00437CFC">
      <w:pPr>
        <w:pStyle w:val="berschrift2"/>
      </w:pPr>
      <w:r w:rsidRPr="00E26023">
        <w:t>Webinar</w:t>
      </w:r>
      <w:r w:rsidR="00B1331A">
        <w:t>/Coaching</w:t>
      </w:r>
    </w:p>
    <w:p w:rsidR="00437CFC" w:rsidRDefault="00C47A7B" w:rsidP="00437CFC">
      <w:r>
        <w:t>Das Webinar ist eine Mischform aus Lern-Video und Präsenz-Seminar. Es verbindet die Vorteile des Lern-Videos (Nutzung am Arbeitsplatz und dadurch keine Fahrt-/Übernachtungskosten) mit den Vorteilen des Präsenz-Seminars ("Anwesenheit" eines echten Trainers und direkte persönliche Rückmeldungen zu Fragen oder Fehlern).</w:t>
      </w:r>
    </w:p>
    <w:p w:rsidR="00E26023" w:rsidRDefault="00E26023" w:rsidP="00437CFC">
      <w:r>
        <w:t>Auch wenn sich Webinare tendenziell eher an mehrere Teilnehmer gleichzeitig wenden, unterscheiden sie sich technisch eigentlich nicht von einem Einzel-Coaching</w:t>
      </w:r>
      <w:r w:rsidR="00B1331A">
        <w:t xml:space="preserve"> via Fernwartung</w:t>
      </w:r>
      <w:r>
        <w:t>.</w:t>
      </w:r>
      <w:r w:rsidR="00B1331A">
        <w:t xml:space="preserve"> In beiden Fällen bearbeitet Ihr mit technischen Hilfsmitteln einen Bildschirm, entweder den eigenen oder denjenigen des Anwenders.</w:t>
      </w:r>
    </w:p>
    <w:p w:rsidR="00C47A7B" w:rsidRDefault="00E26023" w:rsidP="00437CFC">
      <w:r>
        <w:t>Es gibt bei den Programmen viele Überschneidungen mit Fernwartungs-Software (</w:t>
      </w:r>
      <w:r w:rsidR="00770ECF">
        <w:t>welche dann auch Video-Bilder übertra</w:t>
      </w:r>
      <w:r>
        <w:t>g</w:t>
      </w:r>
      <w:r w:rsidR="00770ECF">
        <w:t>en kann</w:t>
      </w:r>
      <w:r>
        <w:t xml:space="preserve">) oder Video-Konferenz-Software (welche auch Fernwartung zulässt), so dass es technisch zunehmend schwieriger abzugrenzen ist. </w:t>
      </w:r>
      <w:r w:rsidR="008229DE">
        <w:t>Typische Programme für Webinare</w:t>
      </w:r>
      <w:r w:rsidR="00B1331A">
        <w:t xml:space="preserve"> oder Coaching</w:t>
      </w:r>
      <w:r w:rsidR="008229DE">
        <w:t xml:space="preserve"> sind </w:t>
      </w:r>
      <w:r w:rsidR="00B1331A">
        <w:t xml:space="preserve">TeamViewer, AnyDesk, </w:t>
      </w:r>
      <w:r>
        <w:t>JoinMe, moodle, Skype for business oder GoToMeeting.</w:t>
      </w:r>
    </w:p>
    <w:p w:rsidR="0079185D" w:rsidRDefault="00A547E0" w:rsidP="00437CFC">
      <w:r>
        <w:rPr>
          <w:noProof/>
          <w:lang w:eastAsia="de-DE"/>
        </w:rPr>
        <w:drawing>
          <wp:anchor distT="0" distB="0" distL="114300" distR="114300" simplePos="0" relativeHeight="251646464" behindDoc="0" locked="0" layoutInCell="1" allowOverlap="1">
            <wp:simplePos x="0" y="0"/>
            <wp:positionH relativeFrom="column">
              <wp:posOffset>2298065</wp:posOffset>
            </wp:positionH>
            <wp:positionV relativeFrom="paragraph">
              <wp:posOffset>62824</wp:posOffset>
            </wp:positionV>
            <wp:extent cx="3742690" cy="2129790"/>
            <wp:effectExtent l="0" t="0" r="0" b="3810"/>
            <wp:wrapSquare wrapText="bothSides"/>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join03a.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742690" cy="2129790"/>
                    </a:xfrm>
                    <a:prstGeom prst="rect">
                      <a:avLst/>
                    </a:prstGeom>
                    <a:effectLst/>
                  </pic:spPr>
                </pic:pic>
              </a:graphicData>
            </a:graphic>
            <wp14:sizeRelH relativeFrom="margin">
              <wp14:pctWidth>0</wp14:pctWidth>
            </wp14:sizeRelH>
            <wp14:sizeRelV relativeFrom="margin">
              <wp14:pctHeight>0</wp14:pctHeight>
            </wp14:sizeRelV>
          </wp:anchor>
        </w:drawing>
      </w:r>
      <w:r w:rsidR="0079185D">
        <w:t>Auch wenn TeamViewer sehr verbreitet (und leider auch sehr teuer) ist, braucht es auf der Gegenseite die wenigstens temporäre Installation eines Programms. Da ist AnyDesk, welches von ehemaligen TeamViewer-Mitarbeitern entwickelt wurde, immerhin eine preisliche Alternative.</w:t>
      </w:r>
    </w:p>
    <w:p w:rsidR="0079185D" w:rsidRDefault="0079185D" w:rsidP="00437CFC">
      <w:r>
        <w:t>Wenn Euer Gegenüber nichts installieren darf, bieten sich Browser-basierte Lösungen an wie JoinMe</w:t>
      </w:r>
      <w:r w:rsidR="008E1803">
        <w:t xml:space="preserve"> (siehe Screenshot)</w:t>
      </w:r>
      <w:r>
        <w:t xml:space="preserve"> oder GoToMeeting. Dabei startet Ihr eine Software und verschickt einen Link, der dann meistens durch eine einzugebende Kenn-Nummer ergänzt wird. Dann spielt sich alles innerhalb des Browser-Fensters ab.</w:t>
      </w:r>
    </w:p>
    <w:p w:rsidR="009C79D7" w:rsidRDefault="006D0E9B" w:rsidP="006D0E9B">
      <w:pPr>
        <w:pStyle w:val="berschrift2"/>
      </w:pPr>
      <w:r>
        <w:t>Hotline</w:t>
      </w:r>
    </w:p>
    <w:p w:rsidR="006D0E9B" w:rsidRDefault="006D0E9B" w:rsidP="006D0E9B">
      <w:r>
        <w:t>Eine Hotline ist sozusagen die nachträgliche Schulung, entweder telefonisch oder per Mail. Dabei ist es egal, ob überhaupt eine reguläre Schulung stattgefunden hat. Es werden immer ein paar Fragen übrigbleiben oder neue während der tatsächlichen Arbeit mit dem Programm oder der Datenbank auftauchen. Da ist es wenig sinnvoll, die Anwender damit einfach alleine zu lassen. Das erhöht nur den Frust und die Ablehnung.</w:t>
      </w:r>
    </w:p>
    <w:p w:rsidR="006D0E9B" w:rsidRDefault="006D0E9B" w:rsidP="006D0E9B">
      <w:r>
        <w:t>Also solltet Ihr direkt überlegen, was nachher passiert. Häufig wird dieser Teil einfach vergessen, die firmeninterne Empfehlung dafür an die Teilnehmer lautet: "Fragen Sie Ihre Kollegen!" Die haben nur meistens auch keine Ahnung.</w:t>
      </w:r>
    </w:p>
    <w:p w:rsidR="006D0E9B" w:rsidRDefault="006D0E9B" w:rsidP="006D0E9B">
      <w:r>
        <w:t xml:space="preserve">Natürlich wäre es unklug, wenn Ihr in der Schulung einfach Eure Telefonnummer oder Mail-Adresse nennen würdet. Dann </w:t>
      </w:r>
      <w:r w:rsidR="00135422">
        <w:t>hättet</w:t>
      </w:r>
      <w:r w:rsidR="00455418">
        <w:t xml:space="preserve"> Ihr eine jahrelange Gratisbetreuung am Hals.</w:t>
      </w:r>
      <w:r w:rsidR="00135422">
        <w:t xml:space="preserve"> </w:t>
      </w:r>
      <w:r w:rsidR="00455418">
        <w:t xml:space="preserve">Sinnvoll für eine dauerhafte Anwenderbetreuung ist die Unterscheidung in verschiedene Stufen. Firmenintern organisiert ist </w:t>
      </w:r>
      <w:r w:rsidR="00960688">
        <w:t xml:space="preserve">nur </w:t>
      </w:r>
      <w:r w:rsidR="00455418">
        <w:t xml:space="preserve">der First-Level-Support, an den alle Fragen zuerst gerichtet werden. Manche davon sind einfach, andere wiederholen sich und vieles können die dortigen Betreuer auch googeln. Bei großen Firmen </w:t>
      </w:r>
      <w:r w:rsidR="00455418">
        <w:lastRenderedPageBreak/>
        <w:t>werden hier die Fragen zu allen installierten Programmen gleichzeitig beantwortet, inzwischen ist das oft auch an eine Spezialfirma ausgelagert.</w:t>
      </w:r>
    </w:p>
    <w:p w:rsidR="00455418" w:rsidRDefault="00960688" w:rsidP="006D0E9B">
      <w:r>
        <w:rPr>
          <w:noProof/>
          <w:lang w:eastAsia="de-DE"/>
        </w:rPr>
        <mc:AlternateContent>
          <mc:Choice Requires="wps">
            <w:drawing>
              <wp:anchor distT="0" distB="0" distL="114300" distR="114300" simplePos="0" relativeHeight="251653632" behindDoc="0" locked="0" layoutInCell="1" allowOverlap="1" wp14:anchorId="3220DD09" wp14:editId="31CC749E">
                <wp:simplePos x="0" y="0"/>
                <wp:positionH relativeFrom="column">
                  <wp:posOffset>-283210</wp:posOffset>
                </wp:positionH>
                <wp:positionV relativeFrom="paragraph">
                  <wp:posOffset>406268</wp:posOffset>
                </wp:positionV>
                <wp:extent cx="3386455" cy="1828800"/>
                <wp:effectExtent l="0" t="0" r="23495" b="24130"/>
                <wp:wrapSquare wrapText="bothSides"/>
                <wp:docPr id="18" name="Textfeld 18"/>
                <wp:cNvGraphicFramePr/>
                <a:graphic xmlns:a="http://schemas.openxmlformats.org/drawingml/2006/main">
                  <a:graphicData uri="http://schemas.microsoft.com/office/word/2010/wordprocessingShape">
                    <wps:wsp>
                      <wps:cNvSpPr txBox="1"/>
                      <wps:spPr>
                        <a:xfrm>
                          <a:off x="0" y="0"/>
                          <a:ext cx="3386455" cy="1828800"/>
                        </a:xfrm>
                        <a:prstGeom prst="rect">
                          <a:avLst/>
                        </a:prstGeom>
                        <a:ln/>
                        <a:effectLst/>
                      </wps:spPr>
                      <wps:style>
                        <a:lnRef idx="1">
                          <a:schemeClr val="accent3"/>
                        </a:lnRef>
                        <a:fillRef idx="2">
                          <a:schemeClr val="accent3"/>
                        </a:fillRef>
                        <a:effectRef idx="1">
                          <a:schemeClr val="accent3"/>
                        </a:effectRef>
                        <a:fontRef idx="minor">
                          <a:schemeClr val="dk1"/>
                        </a:fontRef>
                      </wps:style>
                      <wps:txbx>
                        <w:txbxContent>
                          <w:p w:rsidR="003263B0" w:rsidRPr="003263B0" w:rsidRDefault="003263B0" w:rsidP="003263B0">
                            <w:pPr>
                              <w:jc w:val="center"/>
                              <w:rPr>
                                <w:b/>
                              </w:rPr>
                            </w:pPr>
                            <w:r w:rsidRPr="003263B0">
                              <w:rPr>
                                <w:b/>
                              </w:rPr>
                              <w:t>Tipp für eigene Datenbanken</w:t>
                            </w:r>
                          </w:p>
                          <w:p w:rsidR="003263B0" w:rsidRDefault="003263B0" w:rsidP="003263B0">
                            <w:pPr>
                              <w:spacing w:after="0"/>
                              <w:rPr>
                                <w:sz w:val="18"/>
                                <w:szCs w:val="18"/>
                              </w:rPr>
                            </w:pPr>
                            <w:r w:rsidRPr="003263B0">
                              <w:rPr>
                                <w:sz w:val="18"/>
                                <w:szCs w:val="18"/>
                              </w:rPr>
                              <w:t>Bietet gleich nach der Einführungsphase eine kostenlose Mail-Hotline für 14 Tage an. Diese ist natürlich im Aufwand des Angebots schon berücksichtigt. Die meisten Anwender-Fragen kommen sowieso direkt bei der ersten Benutzung und wenn diese nicht baldmöglich kompetent beantwortet werden, steigt die Ablehnung Eurer Datenbank stark an.</w:t>
                            </w:r>
                          </w:p>
                          <w:p w:rsidR="003263B0" w:rsidRPr="003263B0" w:rsidRDefault="003263B0" w:rsidP="003263B0">
                            <w:pPr>
                              <w:spacing w:after="0"/>
                              <w:rPr>
                                <w:sz w:val="18"/>
                                <w:szCs w:val="18"/>
                              </w:rPr>
                            </w:pPr>
                            <w:r>
                              <w:rPr>
                                <w:sz w:val="18"/>
                                <w:szCs w:val="18"/>
                              </w:rPr>
                              <w:t>Eine telefonische Hotline würde ich eher nicht machen, weil Ihr dann für jede Banalität angerufen werdet. Das Schreiben einer Mail ist eine erste Hemmschwelle, die mühsamer ist, als vielleicht mal selber zu googeln. Und wenn die Frage gar zu doof ist, kann die Mail ja auch mal einen Tag warten, bis sie beantwortet wird. Oder zwei.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3220DD09" id="_x0000_t202" coordsize="21600,21600" o:spt="202" path="m,l,21600r21600,l21600,xe">
                <v:stroke joinstyle="miter"/>
                <v:path gradientshapeok="t" o:connecttype="rect"/>
              </v:shapetype>
              <v:shape id="Textfeld 18" o:spid="_x0000_s1026" type="#_x0000_t202" style="position:absolute;left:0;text-align:left;margin-left:-22.3pt;margin-top:32pt;width:266.65pt;height:2in;z-index:251653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" fillcolor="#cdddac [1622]" strokecolor="#94b64e [3046]">
                <v:fill color2="#f0f4e6 [502]" rotate="t" angle="180" colors="0 #dafda7;22938f #e4fdc2;1 #f5ffe6" focus="100%" type="gradient"/>
                <v:textbox style="mso-fit-shape-to-text:t">
                  <w:txbxContent>
                    <w:p w:rsidR="003263B0" w:rsidRPr="003263B0" w:rsidRDefault="003263B0" w:rsidP="003263B0">
                      <w:pPr>
                        <w:jc w:val="center"/>
                        <w:rPr>
                          <w:b/>
                        </w:rPr>
                      </w:pPr>
                      <w:r w:rsidRPr="003263B0">
                        <w:rPr>
                          <w:b/>
                        </w:rPr>
                        <w:t>Tipp für eigene Datenbanken</w:t>
                      </w:r>
                    </w:p>
                    <w:p w:rsidR="003263B0" w:rsidRDefault="003263B0" w:rsidP="003263B0">
                      <w:pPr>
                        <w:spacing w:after="0"/>
                        <w:rPr>
                          <w:sz w:val="18"/>
                          <w:szCs w:val="18"/>
                        </w:rPr>
                      </w:pPr>
                      <w:r w:rsidRPr="003263B0">
                        <w:rPr>
                          <w:sz w:val="18"/>
                          <w:szCs w:val="18"/>
                        </w:rPr>
                        <w:t>Bietet gleich nach der Einführungsphase eine kostenlose Mail-Hotline für 14 Tage an. Diese ist natürlich im Aufwand des Angebots schon berücksichtigt. Die meisten Anwender-Fragen kommen sowieso direkt bei der ersten Benutzung und wenn diese nicht baldmöglich kompetent beantwortet werden, steigt die Ablehnung Eurer Datenbank stark an.</w:t>
                      </w:r>
                    </w:p>
                    <w:p w:rsidR="003263B0" w:rsidRPr="003263B0" w:rsidRDefault="003263B0" w:rsidP="003263B0">
                      <w:pPr>
                        <w:spacing w:after="0"/>
                        <w:rPr>
                          <w:sz w:val="18"/>
                          <w:szCs w:val="18"/>
                        </w:rPr>
                      </w:pPr>
                      <w:r>
                        <w:rPr>
                          <w:sz w:val="18"/>
                          <w:szCs w:val="18"/>
                        </w:rPr>
                        <w:t>Eine telefonische Hotline würde ich eher nicht machen, weil Ihr dann für jede Banalität angerufen werdet. Das Schreiben einer Mail ist eine erste Hemmschwelle, die mühsamer ist, als vielleicht mal selber zu googeln. Und wenn die Frage gar zu doof ist, kann die Mail ja auch mal einen Tag warten, bis sie beantwortet wird. Oder zwei.</w:t>
                      </w:r>
                    </w:p>
                  </w:txbxContent>
                </v:textbox>
                <w10:wrap type="square"/>
              </v:shape>
            </w:pict>
          </mc:Fallback>
        </mc:AlternateContent>
      </w:r>
      <w:r w:rsidR="00455418">
        <w:t>Erst für die Probleme, die dort nicht gelöst werden, seid Ihr als Second-Level-Support die richtigen Ansprechpartner. Entweder, weil Ihr einfach mehr Ahnung von Access allgemein habt, oder weil Ihr der Entwickler dieser speziellen Datenbank seid und nur Ihr das Passwort habt, um konkret im Code nachzusehen.</w:t>
      </w:r>
    </w:p>
    <w:p w:rsidR="00455418" w:rsidRPr="006D0E9B" w:rsidRDefault="00455418" w:rsidP="006D0E9B">
      <w:r>
        <w:t>Damit werdet Ihr deutlich seltener kontaktiert (je Firma habe ich</w:t>
      </w:r>
      <w:r w:rsidR="00960688">
        <w:t xml:space="preserve"> da eher eine Anfrage in 1-2 </w:t>
      </w:r>
      <w:r>
        <w:t>Monaten) und auch nicht mit Allerweltsfragen belästigt. Das rechne ich auf Stundenbasis ab und da die Anfragen nur noch vom jeweiligen First-Level-Support kommen, weiß auch eine zentrale Stelle, wie oft und wie lange ich dafür arbeite.</w:t>
      </w:r>
    </w:p>
    <w:p w:rsidR="00437CFC" w:rsidRDefault="00027862" w:rsidP="00027862">
      <w:pPr>
        <w:pStyle w:val="berschrift1"/>
      </w:pPr>
      <w:r>
        <w:t>Trainer-Typen</w:t>
      </w:r>
    </w:p>
    <w:p w:rsidR="00AD6547" w:rsidRDefault="00AD6547" w:rsidP="00027862">
      <w:r>
        <w:t xml:space="preserve">Für einen (selbstkritischen) Blick auf die verschiedenen Trainer-Typen habe ich mich </w:t>
      </w:r>
      <w:r w:rsidR="00586301">
        <w:t xml:space="preserve">deutlich an das Buch von </w:t>
      </w:r>
      <w:r w:rsidR="00586301" w:rsidRPr="00586301">
        <w:rPr>
          <w:rStyle w:val="Wichtig"/>
        </w:rPr>
        <w:t>Bernd Weidenmann: Erfolgreiche Kurse und Seminare</w:t>
      </w:r>
      <w:r w:rsidR="00586301">
        <w:t xml:space="preserve"> angelehnt, welches trotz seines Ersterscheinungsjahrs von 1995 auch heute noch zu großen Teilen sehr aktuell ist.</w:t>
      </w:r>
      <w:r w:rsidR="00683D65">
        <w:t xml:space="preserve"> </w:t>
      </w:r>
      <w:r w:rsidR="00586301">
        <w:t xml:space="preserve">Er beschreibt darin anhand von Begriffen aus der </w:t>
      </w:r>
      <w:r w:rsidR="00EF4222">
        <w:t>Transaktions</w:t>
      </w:r>
      <w:r w:rsidR="00586301">
        <w:t>analyse sehr treffen</w:t>
      </w:r>
      <w:r w:rsidR="00D6495D">
        <w:t>d</w:t>
      </w:r>
      <w:r w:rsidR="00586301">
        <w:t xml:space="preserve"> die verschiedenen Trainertypen mit ihren Denkweisen und Problemen:</w:t>
      </w:r>
    </w:p>
    <w:p w:rsidR="00586301" w:rsidRDefault="003846EC" w:rsidP="00586301">
      <w:pPr>
        <w:pStyle w:val="meineListe"/>
      </w:pPr>
      <w:r>
        <w:rPr>
          <w:noProof/>
          <w:lang w:eastAsia="de-DE"/>
        </w:rPr>
        <w:drawing>
          <wp:anchor distT="0" distB="0" distL="114300" distR="114300" simplePos="0" relativeHeight="251668992" behindDoc="0" locked="0" layoutInCell="1" allowOverlap="1">
            <wp:simplePos x="0" y="0"/>
            <wp:positionH relativeFrom="column">
              <wp:posOffset>4140642</wp:posOffset>
            </wp:positionH>
            <wp:positionV relativeFrom="paragraph">
              <wp:posOffset>36112</wp:posOffset>
            </wp:positionV>
            <wp:extent cx="2025650" cy="1976120"/>
            <wp:effectExtent l="0" t="0" r="0" b="5080"/>
            <wp:wrapSquare wrapText="bothSides"/>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uchWeidenmann.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25650" cy="1976120"/>
                    </a:xfrm>
                    <a:prstGeom prst="rect">
                      <a:avLst/>
                    </a:prstGeom>
                  </pic:spPr>
                </pic:pic>
              </a:graphicData>
            </a:graphic>
          </wp:anchor>
        </w:drawing>
      </w:r>
      <w:r w:rsidR="00586301" w:rsidRPr="00586301">
        <w:rPr>
          <w:rStyle w:val="Wichtig"/>
        </w:rPr>
        <w:t>Kritisches Eltern-Ich:</w:t>
      </w:r>
      <w:r w:rsidR="00586301">
        <w:t xml:space="preserve"> "</w:t>
      </w:r>
      <w:r w:rsidR="00586301" w:rsidRPr="00586301">
        <w:t>Ich will, dass jeder möglichst viel bei mir lernt. Deshalb habe ich mich gewissenhaft vorbereitet und verlange, dass sich alle im Kurs an meine Vorgaben halten. Ich verlange viel, aber ich bin gerecht. Wenn sich jemand Mühe gibt, erkenne ich das an. Wer sich drückt oder faul ist, den nehme ich besonders hart ran. Meine Teilnehmer sind wie verwöhnte Kinder und maulen, sobald Ihnen was nicht passt."</w:t>
      </w:r>
      <w:r>
        <w:tab/>
      </w:r>
      <w:r>
        <w:br/>
      </w:r>
      <w:r w:rsidR="00586301">
        <w:t>Er betrachtet seine Teilnehmer als Kinder und möchte alles unter Kontrolle behalten. Dadurch wächst genau der Widerstand der Teilnehmer gegen diesen Druck.</w:t>
      </w:r>
    </w:p>
    <w:p w:rsidR="00586301" w:rsidRDefault="00586301" w:rsidP="00586301">
      <w:pPr>
        <w:pStyle w:val="meineListe"/>
      </w:pPr>
      <w:r>
        <w:rPr>
          <w:rStyle w:val="Wichtig"/>
        </w:rPr>
        <w:t>Fürsorgliches Eltern</w:t>
      </w:r>
      <w:r w:rsidRPr="00586301">
        <w:rPr>
          <w:rStyle w:val="Wichtig"/>
        </w:rPr>
        <w:t>-Ich:</w:t>
      </w:r>
      <w:r>
        <w:t xml:space="preserve"> "</w:t>
      </w:r>
      <w:r w:rsidRPr="00586301">
        <w:t>Ich will, dass sich meine Teilnehmer wohl fühlen. Deshalb mache ich ihnen die Arbeit möglichst leicht und angenehm. Erfolgserlebnisse und Streicheleinheiten sind das Wichtigste. Ich kümmere mich auch um eine gute Umgebung und das Freizeitprogramm. Aber es gibt Menschen, denen man es nie recht machen kann und die die Stimmung verderben wollen."</w:t>
      </w:r>
      <w:r w:rsidR="003846EC">
        <w:tab/>
      </w:r>
      <w:r w:rsidR="003846EC">
        <w:br/>
      </w:r>
      <w:r>
        <w:t>Auch dieser T</w:t>
      </w:r>
      <w:r w:rsidR="00D540C5">
        <w:t>rainert</w:t>
      </w:r>
      <w:r>
        <w:t>yp betrachtet seine Teilnehmer als Kinder, bei denen er sich aber beliebt machen möchte. Das führt tendenziell zur Passivität der Teilnehmer und zu seiner Rolle als Animateur.</w:t>
      </w:r>
    </w:p>
    <w:p w:rsidR="00D540C5" w:rsidRDefault="00D540C5" w:rsidP="00D540C5">
      <w:pPr>
        <w:pStyle w:val="meineListe"/>
      </w:pPr>
      <w:r w:rsidRPr="00D540C5">
        <w:rPr>
          <w:rStyle w:val="Wichtig"/>
        </w:rPr>
        <w:t>Hilfloses Kind-Ich:</w:t>
      </w:r>
      <w:r>
        <w:t xml:space="preserve"> </w:t>
      </w:r>
      <w:r w:rsidRPr="00D540C5">
        <w:t>"Ich kenne meine Schwächen. Am meisten Angst habe ich vor Teilnehmern, die mich bloßstellen wollen. Die denken sich besonders schwierige Fragen aus oder zeigen anderswie, dass sie mir überlegen sind. Ich sage meinen Teilnehmern gleich zu Beginn, dass ich nicht perfekt bin und wir uns gegenseitig helfen müssen. Man lässt mich jetzt eher in Ruhe, aber so richtig zufrieden bin ich mit meinem Kurs nicht."</w:t>
      </w:r>
      <w:r>
        <w:t xml:space="preserve"> </w:t>
      </w:r>
      <w:r w:rsidR="003846EC">
        <w:tab/>
      </w:r>
      <w:r w:rsidR="003846EC">
        <w:br/>
      </w:r>
      <w:r>
        <w:lastRenderedPageBreak/>
        <w:t>Dieser Trainertyp hat vor allem Angst vor Teilnehmern, die ihn bloßstellen könnten. Das führt ebendrum zu der Gefahr, dass aktive Teilnehmer seinen Kurs übernehmen.</w:t>
      </w:r>
    </w:p>
    <w:p w:rsidR="00D540C5" w:rsidRPr="00D540C5" w:rsidRDefault="00D540C5" w:rsidP="00D540C5">
      <w:pPr>
        <w:pStyle w:val="meineListe"/>
      </w:pPr>
      <w:r>
        <w:rPr>
          <w:rStyle w:val="Wichtig"/>
        </w:rPr>
        <w:t>Pfiffiges Kind</w:t>
      </w:r>
      <w:r w:rsidRPr="00D540C5">
        <w:rPr>
          <w:rStyle w:val="Wichtig"/>
        </w:rPr>
        <w:t>-Ich:</w:t>
      </w:r>
      <w:r>
        <w:t xml:space="preserve"> </w:t>
      </w:r>
      <w:r w:rsidRPr="00D540C5">
        <w:t>"Ich mache es mir einfach: Man muss die Teilnehmer strampeln lassen. Natürlich nur, wenn sie Dich gut finden. Dafür habe ich ein paar Highlights im Programm, die bisher jeden beeindruckt haben. Beeindrucken und abstrampeln lassen, das ist es. Und Du musst ein guter Kumpel sein, der mit den Leuten abends ein paar Bierchen trinkt."</w:t>
      </w:r>
      <w:r w:rsidR="003846EC">
        <w:tab/>
      </w:r>
      <w:r w:rsidR="003846EC">
        <w:br/>
      </w:r>
      <w:r>
        <w:t>Diesem Trainer ist es wichtig, bei seinen Teilnehmern beliebt zu sein und findet sich selber in dieser Rolle oft großartig. Das führt tendenziell zu einer Verbrüderung mit den Teilnehmern</w:t>
      </w:r>
      <w:r>
        <w:rPr>
          <w:rStyle w:val="Funotenzeichen"/>
        </w:rPr>
        <w:footnoteReference w:id="2"/>
      </w:r>
      <w:r>
        <w:t>, aber nur zu mäßigem Lernerfolg.</w:t>
      </w:r>
    </w:p>
    <w:p w:rsidR="00970E4C" w:rsidRPr="00970E4C" w:rsidRDefault="00970E4C" w:rsidP="00970E4C">
      <w:pPr>
        <w:pStyle w:val="meineListe"/>
      </w:pPr>
      <w:r w:rsidRPr="00970E4C">
        <w:rPr>
          <w:rStyle w:val="Wichtig"/>
        </w:rPr>
        <w:t>Entspanntes Erwachsenen-Ich:</w:t>
      </w:r>
      <w:r>
        <w:t xml:space="preserve"> "</w:t>
      </w:r>
      <w:r w:rsidRPr="00970E4C">
        <w:t>Ich sorge dafür, dass die Teilnehmer möglichst effizient für sich selber lernen. Dazu gehört, dass jeder seine Erfahrungen und Fähigkeiten so weit wie möglich mit einbringt.</w:t>
      </w:r>
      <w:r w:rsidR="00331F0A">
        <w:t>"</w:t>
      </w:r>
      <w:r w:rsidR="00331F0A">
        <w:tab/>
      </w:r>
      <w:r w:rsidR="00331F0A">
        <w:br/>
      </w:r>
      <w:r w:rsidR="006119E5">
        <w:t>Die Teilnehmer werden wie gleichrangige Erwachsene behandelt und der Trainer betrachtet sich als einen professionellen Dienstleister. Er ist nicht für die Unterhaltung oder als Trostspender zuständig, was allerdings manchmal zu Erstaunen bei anders verwöhnten Teilnehmern führt.</w:t>
      </w:r>
    </w:p>
    <w:p w:rsidR="00D540C5" w:rsidRPr="00D540C5" w:rsidRDefault="006119E5" w:rsidP="006119E5">
      <w:r>
        <w:t>Sicherlich entspricht niemand völlig einseitig genau einem der genannten Trainertypen, aber im Umgang mit den Teilnehmern in Schulungen ist relativ gut das ein oder andere Konzept zu erkennen.</w:t>
      </w:r>
    </w:p>
    <w:p w:rsidR="00027862" w:rsidRDefault="00027862" w:rsidP="00027862">
      <w:pPr>
        <w:pStyle w:val="berschrift1"/>
      </w:pPr>
      <w:r>
        <w:t>Dauer und Themenauswahl</w:t>
      </w:r>
    </w:p>
    <w:p w:rsidR="00E130AF" w:rsidRDefault="003846EC" w:rsidP="00027862">
      <w:r>
        <w:rPr>
          <w:noProof/>
          <w:lang w:eastAsia="de-DE"/>
        </w:rPr>
        <w:drawing>
          <wp:anchor distT="0" distB="0" distL="114300" distR="114300" simplePos="0" relativeHeight="251654656" behindDoc="0" locked="0" layoutInCell="1" allowOverlap="1">
            <wp:simplePos x="0" y="0"/>
            <wp:positionH relativeFrom="column">
              <wp:posOffset>3992245</wp:posOffset>
            </wp:positionH>
            <wp:positionV relativeFrom="paragraph">
              <wp:posOffset>850983</wp:posOffset>
            </wp:positionV>
            <wp:extent cx="2041525" cy="1020445"/>
            <wp:effectExtent l="0" t="0" r="0" b="8255"/>
            <wp:wrapSquare wrapText="bothSides"/>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oldfisch_pixabay.png"/>
                    <pic:cNvPicPr/>
                  </pic:nvPicPr>
                  <pic:blipFill>
                    <a:blip r:embed="rId15">
                      <a:extLst>
                        <a:ext uri="{28A0092B-C50C-407E-A947-70E740481C1C}">
                          <a14:useLocalDpi xmlns:a14="http://schemas.microsoft.com/office/drawing/2010/main" val="0"/>
                        </a:ext>
                      </a:extLst>
                    </a:blip>
                    <a:stretch>
                      <a:fillRect/>
                    </a:stretch>
                  </pic:blipFill>
                  <pic:spPr>
                    <a:xfrm>
                      <a:off x="0" y="0"/>
                      <a:ext cx="2041525" cy="1020445"/>
                    </a:xfrm>
                    <a:prstGeom prst="rect">
                      <a:avLst/>
                    </a:prstGeom>
                  </pic:spPr>
                </pic:pic>
              </a:graphicData>
            </a:graphic>
            <wp14:sizeRelH relativeFrom="margin">
              <wp14:pctWidth>0</wp14:pctWidth>
            </wp14:sizeRelH>
            <wp14:sizeRelV relativeFrom="margin">
              <wp14:pctHeight>0</wp14:pctHeight>
            </wp14:sizeRelV>
          </wp:anchor>
        </w:drawing>
      </w:r>
      <w:r w:rsidR="002B0FBE">
        <w:t xml:space="preserve">Niemand hat Zeit übrig und angeblich </w:t>
      </w:r>
      <w:r w:rsidR="0038454B">
        <w:t>wird die Aufmerksamkeitsspanne der meisten Menschen</w:t>
      </w:r>
      <w:r w:rsidR="002B0FBE">
        <w:t xml:space="preserve"> mit höchstens 8 Sekunden</w:t>
      </w:r>
      <w:r w:rsidR="0038454B">
        <w:t xml:space="preserve"> inzwischen</w:t>
      </w:r>
      <w:r w:rsidR="002B0FBE">
        <w:t xml:space="preserve"> sogar schon</w:t>
      </w:r>
      <w:r w:rsidR="0038454B">
        <w:t xml:space="preserve"> von Goldfischen</w:t>
      </w:r>
      <w:r w:rsidR="002B0FBE">
        <w:t xml:space="preserve"> mit 9 Sekunden</w:t>
      </w:r>
      <w:r w:rsidR="0038454B">
        <w:t xml:space="preserve"> übertroffen (</w:t>
      </w:r>
      <w:r w:rsidR="002B0FBE">
        <w:t xml:space="preserve">kritisch dazu: </w:t>
      </w:r>
      <w:hyperlink r:id="rId16" w:history="1">
        <w:r w:rsidR="002B0FBE" w:rsidRPr="002B0FBE">
          <w:rPr>
            <w:rStyle w:val="Hyperlink"/>
          </w:rPr>
          <w:t>https://onlinemarketing.de/news/aufmerksamkeit-goldfisch-mythos</w:t>
        </w:r>
      </w:hyperlink>
      <w:r w:rsidR="002B0FBE">
        <w:t>)</w:t>
      </w:r>
      <w:r w:rsidR="0038454B">
        <w:t>. Daher werden Trainings</w:t>
      </w:r>
      <w:r w:rsidR="002B0FBE">
        <w:t xml:space="preserve"> jeder Form zunehmend kürzer und auch die Tendenz zum Infotainment</w:t>
      </w:r>
      <w:r w:rsidR="001D342F">
        <w:rPr>
          <w:rStyle w:val="Funotenzeichen"/>
        </w:rPr>
        <w:footnoteReference w:id="3"/>
      </w:r>
      <w:r w:rsidR="002B0FBE">
        <w:t>, also der Mischung von Unterhaltung und Information, ist unübersehbar.</w:t>
      </w:r>
    </w:p>
    <w:p w:rsidR="00027862" w:rsidRDefault="00AD6547" w:rsidP="00027862">
      <w:r>
        <w:t>Was das für Anwenderschulungen bedeutet? Weniger ist mehr! Macht keine Ich-lerne-das-ganze-Office-Kurse, sondern kleine, klar abgegrenzte Themen-Angebote. Statt "Access komplett in 3 Tagen" lieber 5 einzelne Kurse für "Datenmodell", "Tabellen", "Abfragen", "Formulare", "Berichte".</w:t>
      </w:r>
    </w:p>
    <w:p w:rsidR="00AD6547" w:rsidRDefault="00AD6547" w:rsidP="00027862">
      <w:r>
        <w:t>Dann kann sich jeder Teilnehmer</w:t>
      </w:r>
      <w:r w:rsidR="00A97DBA">
        <w:t xml:space="preserve"> genau das herausfischen, was er für wichtig erachtet. Das fühlt sich meistens sogar preiswerter an, aber faktisch bedeutet es eher, dass statt eines 3-Tage-Komplett-Kurses über einen längeren Zeitraum</w:t>
      </w:r>
      <w:r w:rsidR="005C0C4A">
        <w:t xml:space="preserve"> 5 </w:t>
      </w:r>
      <w:r w:rsidR="00A97DBA">
        <w:t>einzelne Tage gebucht werden.</w:t>
      </w:r>
    </w:p>
    <w:p w:rsidR="00A97DBA" w:rsidRDefault="00A97DBA" w:rsidP="00027862">
      <w:r>
        <w:t xml:space="preserve">Letzten Endes ist das aber gut, nicht nur für Euren Geldbeutel, sondern auch für den Lernerfolg des Teilnehmers. Durch die zeitlichen Abstände dazwischen kann sich das Teilwissen besser festigen. </w:t>
      </w:r>
      <w:r w:rsidR="00D87503">
        <w:t>Meine schlimmste Erfahrung mit kompakten Kursen waren 5 Tage "Office-Grundkurs"</w:t>
      </w:r>
      <w:r w:rsidR="00D8228D">
        <w:t xml:space="preserve"> (</w:t>
      </w:r>
      <w:r w:rsidR="00FA09DB">
        <w:t xml:space="preserve">2 Tage </w:t>
      </w:r>
      <w:r w:rsidR="00D8228D">
        <w:t xml:space="preserve">Word, </w:t>
      </w:r>
      <w:r w:rsidR="00FA09DB">
        <w:t xml:space="preserve">2 Tage </w:t>
      </w:r>
      <w:r w:rsidR="00D8228D">
        <w:t xml:space="preserve">Excel und </w:t>
      </w:r>
      <w:r w:rsidR="00FA09DB">
        <w:t xml:space="preserve">1 Tag </w:t>
      </w:r>
      <w:r w:rsidR="00D8228D">
        <w:t>PowerPoint)</w:t>
      </w:r>
      <w:r w:rsidR="00D87503">
        <w:t xml:space="preserve"> an einem Stück als Trainer. Am dritten Tag wusste ich schon nicht mehr, wie ich heiße, geschweige denn, dass die Teilnehmer noch aufnahmefähig gewesen wären.</w:t>
      </w:r>
    </w:p>
    <w:p w:rsidR="00D87503" w:rsidRDefault="00D8228D" w:rsidP="00027862">
      <w:r>
        <w:t>Wichtig sind also klare Abgrenzungen für Ziele und Themen. Für einen Access-Grundlagenkurs ergibt sich das bei 2 Tagen Dauer fast selbstverständlich durch die Struktur des Programmes selber:</w:t>
      </w:r>
    </w:p>
    <w:tbl>
      <w:tblPr>
        <w:tblStyle w:val="Gitternetztabelle5dunkelAkzent1"/>
        <w:tblW w:w="0" w:type="auto"/>
        <w:tblInd w:w="113" w:type="dxa"/>
        <w:tblLook w:val="0480" w:firstRow="0" w:lastRow="0" w:firstColumn="1" w:lastColumn="0" w:noHBand="0" w:noVBand="1"/>
      </w:tblPr>
      <w:tblGrid>
        <w:gridCol w:w="2089"/>
        <w:gridCol w:w="7086"/>
      </w:tblGrid>
      <w:tr w:rsidR="00D8228D" w:rsidTr="004434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Pr>
          <w:p w:rsidR="00D8228D" w:rsidRPr="00D8228D" w:rsidRDefault="00D8228D" w:rsidP="00027862">
            <w:pPr>
              <w:rPr>
                <w:b w:val="0"/>
              </w:rPr>
            </w:pPr>
            <w:r w:rsidRPr="00D8228D">
              <w:lastRenderedPageBreak/>
              <w:t>Tag 1, vormittags</w:t>
            </w:r>
          </w:p>
        </w:tc>
        <w:tc>
          <w:tcPr>
            <w:tcW w:w="7119" w:type="dxa"/>
          </w:tcPr>
          <w:p w:rsidR="00D8228D" w:rsidRPr="00A60606" w:rsidRDefault="00D8228D" w:rsidP="00027862">
            <w:pPr>
              <w:cnfStyle w:val="000000100000" w:firstRow="0" w:lastRow="0" w:firstColumn="0" w:lastColumn="0" w:oddVBand="0" w:evenVBand="0" w:oddHBand="1" w:evenHBand="0" w:firstRowFirstColumn="0" w:firstRowLastColumn="0" w:lastRowFirstColumn="0" w:lastRowLastColumn="0"/>
            </w:pPr>
            <w:r w:rsidRPr="00A60606">
              <w:t>Tabellen (plus einer kurzen anfänglichen Erläuterung von Datenmodellen)</w:t>
            </w:r>
          </w:p>
        </w:tc>
      </w:tr>
      <w:tr w:rsidR="00D8228D" w:rsidTr="0044343C">
        <w:tc>
          <w:tcPr>
            <w:cnfStyle w:val="001000000000" w:firstRow="0" w:lastRow="0" w:firstColumn="1" w:lastColumn="0" w:oddVBand="0" w:evenVBand="0" w:oddHBand="0" w:evenHBand="0" w:firstRowFirstColumn="0" w:firstRowLastColumn="0" w:lastRowFirstColumn="0" w:lastRowLastColumn="0"/>
            <w:tcW w:w="2093" w:type="dxa"/>
          </w:tcPr>
          <w:p w:rsidR="00D8228D" w:rsidRPr="00D8228D" w:rsidRDefault="00D8228D" w:rsidP="00027862">
            <w:pPr>
              <w:rPr>
                <w:b w:val="0"/>
              </w:rPr>
            </w:pPr>
            <w:r w:rsidRPr="00D8228D">
              <w:t>Tag 1, nachmittags</w:t>
            </w:r>
          </w:p>
        </w:tc>
        <w:tc>
          <w:tcPr>
            <w:tcW w:w="7119" w:type="dxa"/>
          </w:tcPr>
          <w:p w:rsidR="00D8228D" w:rsidRPr="00A60606" w:rsidRDefault="00D8228D" w:rsidP="00027862">
            <w:pPr>
              <w:cnfStyle w:val="000000000000" w:firstRow="0" w:lastRow="0" w:firstColumn="0" w:lastColumn="0" w:oddVBand="0" w:evenVBand="0" w:oddHBand="0" w:evenHBand="0" w:firstRowFirstColumn="0" w:firstRowLastColumn="0" w:lastRowFirstColumn="0" w:lastRowLastColumn="0"/>
            </w:pPr>
            <w:r w:rsidRPr="00A60606">
              <w:t>Abfragen (nur Auswahlabfragen, keine Aktionsabfragen)</w:t>
            </w:r>
          </w:p>
        </w:tc>
      </w:tr>
      <w:tr w:rsidR="00D8228D" w:rsidTr="004434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Pr>
          <w:p w:rsidR="00D8228D" w:rsidRPr="00D8228D" w:rsidRDefault="00D8228D" w:rsidP="00027862">
            <w:pPr>
              <w:rPr>
                <w:b w:val="0"/>
              </w:rPr>
            </w:pPr>
            <w:r w:rsidRPr="00D8228D">
              <w:t>Tag 2, vormittags</w:t>
            </w:r>
          </w:p>
        </w:tc>
        <w:tc>
          <w:tcPr>
            <w:tcW w:w="7119" w:type="dxa"/>
          </w:tcPr>
          <w:p w:rsidR="00D8228D" w:rsidRPr="00A60606" w:rsidRDefault="00D8228D" w:rsidP="00D8228D">
            <w:pPr>
              <w:cnfStyle w:val="000000100000" w:firstRow="0" w:lastRow="0" w:firstColumn="0" w:lastColumn="0" w:oddVBand="0" w:evenVBand="0" w:oddHBand="1" w:evenHBand="0" w:firstRowFirstColumn="0" w:firstRowLastColumn="0" w:lastRowFirstColumn="0" w:lastRowLastColumn="0"/>
            </w:pPr>
            <w:r w:rsidRPr="00A60606">
              <w:t>Formulare (plus einer kurzen Wiederholung von Tabellen und Abfragen)</w:t>
            </w:r>
          </w:p>
        </w:tc>
      </w:tr>
      <w:tr w:rsidR="00D8228D" w:rsidTr="0044343C">
        <w:tc>
          <w:tcPr>
            <w:cnfStyle w:val="001000000000" w:firstRow="0" w:lastRow="0" w:firstColumn="1" w:lastColumn="0" w:oddVBand="0" w:evenVBand="0" w:oddHBand="0" w:evenHBand="0" w:firstRowFirstColumn="0" w:firstRowLastColumn="0" w:lastRowFirstColumn="0" w:lastRowLastColumn="0"/>
            <w:tcW w:w="2093" w:type="dxa"/>
          </w:tcPr>
          <w:p w:rsidR="00D8228D" w:rsidRPr="00D8228D" w:rsidRDefault="00D8228D" w:rsidP="00027862">
            <w:pPr>
              <w:rPr>
                <w:b w:val="0"/>
              </w:rPr>
            </w:pPr>
            <w:r w:rsidRPr="00D8228D">
              <w:t>Tag 2, nachmittags</w:t>
            </w:r>
          </w:p>
        </w:tc>
        <w:tc>
          <w:tcPr>
            <w:tcW w:w="7119" w:type="dxa"/>
          </w:tcPr>
          <w:p w:rsidR="00D8228D" w:rsidRPr="00A60606" w:rsidRDefault="00D8228D" w:rsidP="00D8228D">
            <w:pPr>
              <w:cnfStyle w:val="000000000000" w:firstRow="0" w:lastRow="0" w:firstColumn="0" w:lastColumn="0" w:oddVBand="0" w:evenVBand="0" w:oddHBand="0" w:evenHBand="0" w:firstRowFirstColumn="0" w:firstRowLastColumn="0" w:lastRowFirstColumn="0" w:lastRowLastColumn="0"/>
            </w:pPr>
            <w:r w:rsidRPr="00A60606">
              <w:t>Berichte (plus anschließenden Fragen, die offengeblieben sind)</w:t>
            </w:r>
          </w:p>
        </w:tc>
      </w:tr>
    </w:tbl>
    <w:p w:rsidR="00D8228D" w:rsidRDefault="00385E7B" w:rsidP="007671CA">
      <w:pPr>
        <w:spacing w:before="120"/>
      </w:pPr>
      <w:r>
        <w:t>Danach kennen die Teilnehmer wenigstens die Grundzüge von Access und versuchen hoffentlich nicht mehr, alle Daten in einer einzigen Tabelle zu speichern, wie sie es vorher bei Excel gemacht haben. Nun können die speziellen eintägigen Themenkurse kommen, also beispielsweise:</w:t>
      </w:r>
    </w:p>
    <w:tbl>
      <w:tblPr>
        <w:tblStyle w:val="Gitternetztabelle5dunkelAkzent1"/>
        <w:tblW w:w="0" w:type="auto"/>
        <w:tblInd w:w="113" w:type="dxa"/>
        <w:tblLook w:val="0480" w:firstRow="0" w:lastRow="0" w:firstColumn="1" w:lastColumn="0" w:noHBand="0" w:noVBand="1"/>
      </w:tblPr>
      <w:tblGrid>
        <w:gridCol w:w="2090"/>
        <w:gridCol w:w="7085"/>
      </w:tblGrid>
      <w:tr w:rsidR="00385E7B" w:rsidTr="004434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Pr>
          <w:p w:rsidR="00385E7B" w:rsidRPr="00D8228D" w:rsidRDefault="00385E7B" w:rsidP="002224C0">
            <w:pPr>
              <w:rPr>
                <w:b w:val="0"/>
              </w:rPr>
            </w:pPr>
            <w:r>
              <w:t>Abfragen</w:t>
            </w:r>
          </w:p>
        </w:tc>
        <w:tc>
          <w:tcPr>
            <w:tcW w:w="7119" w:type="dxa"/>
          </w:tcPr>
          <w:p w:rsidR="00385E7B" w:rsidRDefault="00385E7B" w:rsidP="00385E7B">
            <w:pPr>
              <w:tabs>
                <w:tab w:val="right" w:pos="6903"/>
              </w:tabs>
              <w:cnfStyle w:val="000000100000" w:firstRow="0" w:lastRow="0" w:firstColumn="0" w:lastColumn="0" w:oddVBand="0" w:evenVBand="0" w:oddHBand="1" w:evenHBand="0" w:firstRowFirstColumn="0" w:firstRowLastColumn="0" w:lastRowFirstColumn="0" w:lastRowLastColumn="0"/>
            </w:pPr>
            <w:r>
              <w:t>Auswahlabfragen (jetzt auch mit Union und OuterJoin) und Aktionsabfragen</w:t>
            </w:r>
          </w:p>
        </w:tc>
      </w:tr>
      <w:tr w:rsidR="00385E7B" w:rsidTr="0044343C">
        <w:tc>
          <w:tcPr>
            <w:cnfStyle w:val="001000000000" w:firstRow="0" w:lastRow="0" w:firstColumn="1" w:lastColumn="0" w:oddVBand="0" w:evenVBand="0" w:oddHBand="0" w:evenHBand="0" w:firstRowFirstColumn="0" w:firstRowLastColumn="0" w:lastRowFirstColumn="0" w:lastRowLastColumn="0"/>
            <w:tcW w:w="2093" w:type="dxa"/>
          </w:tcPr>
          <w:p w:rsidR="00385E7B" w:rsidRPr="00D8228D" w:rsidRDefault="00D04EC7" w:rsidP="002224C0">
            <w:pPr>
              <w:rPr>
                <w:b w:val="0"/>
              </w:rPr>
            </w:pPr>
            <w:r>
              <w:t>Spezial-Formulare</w:t>
            </w:r>
          </w:p>
        </w:tc>
        <w:tc>
          <w:tcPr>
            <w:tcW w:w="7119" w:type="dxa"/>
          </w:tcPr>
          <w:p w:rsidR="00385E7B" w:rsidRDefault="00D04EC7" w:rsidP="002224C0">
            <w:pPr>
              <w:cnfStyle w:val="000000000000" w:firstRow="0" w:lastRow="0" w:firstColumn="0" w:lastColumn="0" w:oddVBand="0" w:evenVBand="0" w:oddHBand="0" w:evenHBand="0" w:firstRowFirstColumn="0" w:firstRowLastColumn="0" w:lastRowFirstColumn="0" w:lastRowLastColumn="0"/>
            </w:pPr>
            <w:r>
              <w:t>Haupt-/Unterformulare, PopUp, Mehrfachnutzung, eingebettete Formulare</w:t>
            </w:r>
          </w:p>
        </w:tc>
      </w:tr>
      <w:tr w:rsidR="00385E7B" w:rsidTr="004434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Pr>
          <w:p w:rsidR="00385E7B" w:rsidRPr="00D8228D" w:rsidRDefault="00D04EC7" w:rsidP="002224C0">
            <w:pPr>
              <w:rPr>
                <w:b w:val="0"/>
              </w:rPr>
            </w:pPr>
            <w:r>
              <w:t>Besondere Berichte</w:t>
            </w:r>
          </w:p>
        </w:tc>
        <w:tc>
          <w:tcPr>
            <w:tcW w:w="7119" w:type="dxa"/>
          </w:tcPr>
          <w:p w:rsidR="00385E7B" w:rsidRDefault="00D04EC7" w:rsidP="002224C0">
            <w:pPr>
              <w:cnfStyle w:val="000000100000" w:firstRow="0" w:lastRow="0" w:firstColumn="0" w:lastColumn="0" w:oddVBand="0" w:evenVBand="0" w:oddHBand="1" w:evenHBand="0" w:firstRowFirstColumn="0" w:firstRowLastColumn="0" w:lastRowFirstColumn="0" w:lastRowLastColumn="0"/>
            </w:pPr>
            <w:r>
              <w:t>Etiketten-Assistent, mehrspaltige Berichte, eingebettete Berichte</w:t>
            </w:r>
          </w:p>
        </w:tc>
      </w:tr>
      <w:tr w:rsidR="00385E7B" w:rsidTr="0044343C">
        <w:tc>
          <w:tcPr>
            <w:cnfStyle w:val="001000000000" w:firstRow="0" w:lastRow="0" w:firstColumn="1" w:lastColumn="0" w:oddVBand="0" w:evenVBand="0" w:oddHBand="0" w:evenHBand="0" w:firstRowFirstColumn="0" w:firstRowLastColumn="0" w:lastRowFirstColumn="0" w:lastRowLastColumn="0"/>
            <w:tcW w:w="2093" w:type="dxa"/>
          </w:tcPr>
          <w:p w:rsidR="00385E7B" w:rsidRPr="00D8228D" w:rsidRDefault="00D04EC7" w:rsidP="002224C0">
            <w:pPr>
              <w:rPr>
                <w:b w:val="0"/>
              </w:rPr>
            </w:pPr>
            <w:r>
              <w:t>Datenmodell</w:t>
            </w:r>
          </w:p>
        </w:tc>
        <w:tc>
          <w:tcPr>
            <w:tcW w:w="7119" w:type="dxa"/>
          </w:tcPr>
          <w:p w:rsidR="00385E7B" w:rsidRDefault="00D04EC7" w:rsidP="002224C0">
            <w:pPr>
              <w:cnfStyle w:val="000000000000" w:firstRow="0" w:lastRow="0" w:firstColumn="0" w:lastColumn="0" w:oddVBand="0" w:evenVBand="0" w:oddHBand="0" w:evenHBand="0" w:firstRowFirstColumn="0" w:firstRowLastColumn="0" w:lastRowFirstColumn="0" w:lastRowLastColumn="0"/>
            </w:pPr>
            <w:r>
              <w:t>Erstellung von Datenmodellen anhand verschiedener Beispiele</w:t>
            </w:r>
          </w:p>
        </w:tc>
      </w:tr>
    </w:tbl>
    <w:p w:rsidR="002F55C3" w:rsidRDefault="00143996" w:rsidP="007671CA">
      <w:pPr>
        <w:spacing w:before="120"/>
      </w:pPr>
      <w:r>
        <w:rPr>
          <w:noProof/>
          <w:lang w:eastAsia="de-DE"/>
        </w:rPr>
        <w:drawing>
          <wp:anchor distT="0" distB="0" distL="114300" distR="114300" simplePos="0" relativeHeight="251664896" behindDoc="0" locked="0" layoutInCell="1" allowOverlap="1" wp14:anchorId="0EDD582C" wp14:editId="5C8C46C1">
            <wp:simplePos x="0" y="0"/>
            <wp:positionH relativeFrom="column">
              <wp:posOffset>-335280</wp:posOffset>
            </wp:positionH>
            <wp:positionV relativeFrom="paragraph">
              <wp:posOffset>131445</wp:posOffset>
            </wp:positionV>
            <wp:extent cx="1526540" cy="2378710"/>
            <wp:effectExtent l="19050" t="19050" r="16510" b="21590"/>
            <wp:wrapSquare wrapText="bothSides"/>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AccessVBA01a.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26540" cy="2378710"/>
                    </a:xfrm>
                    <a:prstGeom prst="rect">
                      <a:avLst/>
                    </a:prstGeom>
                    <a:ln>
                      <a:solidFill>
                        <a:schemeClr val="bg1">
                          <a:lumMod val="50000"/>
                        </a:schemeClr>
                      </a:solidFill>
                    </a:ln>
                    <a:effectLst/>
                  </pic:spPr>
                </pic:pic>
              </a:graphicData>
            </a:graphic>
            <wp14:sizeRelH relativeFrom="margin">
              <wp14:pctWidth>0</wp14:pctWidth>
            </wp14:sizeRelH>
            <wp14:sizeRelV relativeFrom="margin">
              <wp14:pctHeight>0</wp14:pctHeight>
            </wp14:sizeRelV>
          </wp:anchor>
        </w:drawing>
      </w:r>
      <w:r w:rsidR="005C0C4A">
        <w:t xml:space="preserve">Alternativ dazu lässt sich die VBA-Programmierung in Access vertiefen, allerdings beim besten Willen nicht in halbtägigen Häppchen. Auch wenn es immer mal wieder angefragt wird, weigere ich mich, VBA in einem 2-Tages-Kurs zu unterrichten. Schon die allgemeinen VBA-Grundlagen dauern locker 3 Tage, bevor es </w:t>
      </w:r>
      <w:r w:rsidR="004B3E1E">
        <w:t xml:space="preserve">überhaupt </w:t>
      </w:r>
      <w:r w:rsidR="005C0C4A">
        <w:t>an die spez</w:t>
      </w:r>
      <w:r w:rsidR="002F55C3">
        <w:t>iellen Access-VBA-Befehle geht.</w:t>
      </w:r>
    </w:p>
    <w:p w:rsidR="00385E7B" w:rsidRDefault="005C0C4A" w:rsidP="00027862">
      <w:r>
        <w:t xml:space="preserve">Der Versuch, nur die speziellen VBA-Befehle zu lernen, entspricht der weitverbreiteten Methode, in Access schon mal mit Formularen anzufangen, anstatt vernünftige Tabellen oder Abfragen vorzubereiten. </w:t>
      </w:r>
      <w:r w:rsidR="00FA09DB">
        <w:t>Das g</w:t>
      </w:r>
      <w:r>
        <w:t>eht</w:t>
      </w:r>
      <w:r w:rsidR="00FA09DB">
        <w:t xml:space="preserve"> zwar</w:t>
      </w:r>
      <w:r>
        <w:t>, ist aber eine blöde Idee.</w:t>
      </w:r>
    </w:p>
    <w:p w:rsidR="00A26B86" w:rsidRDefault="00A26B86" w:rsidP="00027862">
      <w:r>
        <w:t>Ein 3-tägiger Grundkurs für grundlegende Office-VBA-Kenntnisse könnte beispielsweise so strukturiert sein</w:t>
      </w:r>
      <w:r w:rsidR="00BA3BD3">
        <w:t xml:space="preserve"> (A ist jeweils die erste Hälfte und B nach einer Pause die zweite Hälfte des Vor- oder Nachmittags</w:t>
      </w:r>
      <w:r w:rsidR="00791B33">
        <w:t xml:space="preserve">, </w:t>
      </w:r>
      <w:r w:rsidR="002F55C3">
        <w:t xml:space="preserve">es sind </w:t>
      </w:r>
      <w:r w:rsidR="00791B33">
        <w:t>also jeweils 1,5-stündige Module</w:t>
      </w:r>
      <w:r w:rsidR="00BA3BD3">
        <w:t>)</w:t>
      </w:r>
      <w:r>
        <w:t>:</w:t>
      </w:r>
    </w:p>
    <w:tbl>
      <w:tblPr>
        <w:tblStyle w:val="Gitternetztabelle5dunkelAkzent1"/>
        <w:tblW w:w="0" w:type="auto"/>
        <w:tblInd w:w="113" w:type="dxa"/>
        <w:tblLook w:val="0480" w:firstRow="0" w:lastRow="0" w:firstColumn="1" w:lastColumn="0" w:noHBand="0" w:noVBand="1"/>
      </w:tblPr>
      <w:tblGrid>
        <w:gridCol w:w="2089"/>
        <w:gridCol w:w="7086"/>
      </w:tblGrid>
      <w:tr w:rsidR="003846EC" w:rsidTr="004434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Pr>
          <w:p w:rsidR="005C0C4A" w:rsidRPr="00A60606" w:rsidRDefault="00BA3BD3" w:rsidP="002224C0">
            <w:r w:rsidRPr="00A60606">
              <w:t>Tag 1, vormittags A</w:t>
            </w:r>
          </w:p>
        </w:tc>
        <w:tc>
          <w:tcPr>
            <w:tcW w:w="7119" w:type="dxa"/>
          </w:tcPr>
          <w:p w:rsidR="005C0C4A" w:rsidRDefault="00FA483D" w:rsidP="00FA483D">
            <w:pPr>
              <w:tabs>
                <w:tab w:val="right" w:pos="6903"/>
              </w:tabs>
              <w:cnfStyle w:val="000000100000" w:firstRow="0" w:lastRow="0" w:firstColumn="0" w:lastColumn="0" w:oddVBand="0" w:evenVBand="0" w:oddHBand="1" w:evenHBand="0" w:firstRowFirstColumn="0" w:firstRowLastColumn="0" w:lastRowFirstColumn="0" w:lastRowLastColumn="0"/>
            </w:pPr>
            <w:r w:rsidRPr="00FA483D">
              <w:t>Objektmodell</w:t>
            </w:r>
            <w:r w:rsidR="005E116F">
              <w:t>, A</w:t>
            </w:r>
            <w:r>
              <w:t>ufzeichnen, S</w:t>
            </w:r>
            <w:r w:rsidRPr="00FA483D">
              <w:t>ub/Function</w:t>
            </w:r>
          </w:p>
        </w:tc>
      </w:tr>
      <w:tr w:rsidR="003846EC" w:rsidTr="0044343C">
        <w:tc>
          <w:tcPr>
            <w:cnfStyle w:val="001000000000" w:firstRow="0" w:lastRow="0" w:firstColumn="1" w:lastColumn="0" w:oddVBand="0" w:evenVBand="0" w:oddHBand="0" w:evenHBand="0" w:firstRowFirstColumn="0" w:firstRowLastColumn="0" w:lastRowFirstColumn="0" w:lastRowLastColumn="0"/>
            <w:tcW w:w="2093" w:type="dxa"/>
          </w:tcPr>
          <w:p w:rsidR="005C0C4A" w:rsidRPr="00A60606" w:rsidRDefault="00BA3BD3" w:rsidP="00BA3BD3">
            <w:r w:rsidRPr="00A60606">
              <w:t>Tag 1, vormittags B</w:t>
            </w:r>
          </w:p>
        </w:tc>
        <w:tc>
          <w:tcPr>
            <w:tcW w:w="7119" w:type="dxa"/>
          </w:tcPr>
          <w:p w:rsidR="005C0C4A" w:rsidRDefault="00FA483D" w:rsidP="00FA483D">
            <w:pPr>
              <w:cnfStyle w:val="000000000000" w:firstRow="0" w:lastRow="0" w:firstColumn="0" w:lastColumn="0" w:oddVBand="0" w:evenVBand="0" w:oddHBand="0" w:evenHBand="0" w:firstRowFirstColumn="0" w:firstRowLastColumn="0" w:lastRowFirstColumn="0" w:lastRowLastColumn="0"/>
            </w:pPr>
            <w:r w:rsidRPr="00FA483D">
              <w:t>MsgBox</w:t>
            </w:r>
            <w:r>
              <w:t>, Umgang mit Fehler</w:t>
            </w:r>
            <w:r w:rsidRPr="00FA483D">
              <w:t>n</w:t>
            </w:r>
          </w:p>
        </w:tc>
      </w:tr>
      <w:tr w:rsidR="003846EC" w:rsidTr="004434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Pr>
          <w:p w:rsidR="005C0C4A" w:rsidRPr="00A60606" w:rsidRDefault="00BA3BD3" w:rsidP="00BA3BD3">
            <w:r w:rsidRPr="00A60606">
              <w:t>Tag 1, nachmittags A</w:t>
            </w:r>
          </w:p>
        </w:tc>
        <w:tc>
          <w:tcPr>
            <w:tcW w:w="7119" w:type="dxa"/>
          </w:tcPr>
          <w:p w:rsidR="005C0C4A" w:rsidRDefault="00FA483D" w:rsidP="00FA483D">
            <w:pPr>
              <w:cnfStyle w:val="000000100000" w:firstRow="0" w:lastRow="0" w:firstColumn="0" w:lastColumn="0" w:oddVBand="0" w:evenVBand="0" w:oddHBand="1" w:evenHBand="0" w:firstRowFirstColumn="0" w:firstRowLastColumn="0" w:lastRowFirstColumn="0" w:lastRowLastColumn="0"/>
            </w:pPr>
            <w:r w:rsidRPr="00FA483D">
              <w:t>Variablen</w:t>
            </w:r>
            <w:r>
              <w:t xml:space="preserve">, Konstanten, </w:t>
            </w:r>
            <w:r w:rsidRPr="00FA483D">
              <w:t>evtl. Enum</w:t>
            </w:r>
          </w:p>
        </w:tc>
      </w:tr>
      <w:tr w:rsidR="0044343C" w:rsidTr="0044343C">
        <w:tc>
          <w:tcPr>
            <w:cnfStyle w:val="001000000000" w:firstRow="0" w:lastRow="0" w:firstColumn="1" w:lastColumn="0" w:oddVBand="0" w:evenVBand="0" w:oddHBand="0" w:evenHBand="0" w:firstRowFirstColumn="0" w:firstRowLastColumn="0" w:lastRowFirstColumn="0" w:lastRowLastColumn="0"/>
            <w:tcW w:w="2093" w:type="dxa"/>
          </w:tcPr>
          <w:p w:rsidR="005C0C4A" w:rsidRPr="00A60606" w:rsidRDefault="00BA3BD3" w:rsidP="002224C0">
            <w:r w:rsidRPr="00A60606">
              <w:t>Tag 1, nachmittags B</w:t>
            </w:r>
          </w:p>
        </w:tc>
        <w:tc>
          <w:tcPr>
            <w:tcW w:w="7119" w:type="dxa"/>
          </w:tcPr>
          <w:p w:rsidR="005C0C4A" w:rsidRPr="003846EC" w:rsidRDefault="003846EC" w:rsidP="00FA483D">
            <w:pPr>
              <w:cnfStyle w:val="000000000000" w:firstRow="0" w:lastRow="0" w:firstColumn="0" w:lastColumn="0" w:oddVBand="0" w:evenVBand="0" w:oddHBand="0" w:evenHBand="0" w:firstRowFirstColumn="0" w:firstRowLastColumn="0" w:lastRowFirstColumn="0" w:lastRowLastColumn="0"/>
            </w:pPr>
            <w:r w:rsidRPr="003846EC">
              <w:t>Sub-Prozeduren, Funktionen</w:t>
            </w:r>
            <w:r w:rsidR="00FA483D" w:rsidRPr="003846EC">
              <w:t>, Parameter</w:t>
            </w:r>
          </w:p>
        </w:tc>
      </w:tr>
      <w:tr w:rsidR="003846EC" w:rsidTr="004434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Pr>
          <w:p w:rsidR="00BA3BD3" w:rsidRPr="00A60606" w:rsidRDefault="00BA3BD3" w:rsidP="00BA3BD3">
            <w:r w:rsidRPr="00A60606">
              <w:t>Tag 2, vormittags A</w:t>
            </w:r>
          </w:p>
        </w:tc>
        <w:tc>
          <w:tcPr>
            <w:tcW w:w="7119" w:type="dxa"/>
          </w:tcPr>
          <w:p w:rsidR="00BA3BD3" w:rsidRDefault="00BA3BD3" w:rsidP="00BA3BD3">
            <w:pPr>
              <w:cnfStyle w:val="000000100000" w:firstRow="0" w:lastRow="0" w:firstColumn="0" w:lastColumn="0" w:oddVBand="0" w:evenVBand="0" w:oddHBand="1" w:evenHBand="0" w:firstRowFirstColumn="0" w:firstRowLastColumn="0" w:lastRowFirstColumn="0" w:lastRowLastColumn="0"/>
            </w:pPr>
            <w:r w:rsidRPr="00FA483D">
              <w:t>Wiederholung</w:t>
            </w:r>
            <w:r>
              <w:t xml:space="preserve">, </w:t>
            </w:r>
            <w:r w:rsidRPr="00FA483D">
              <w:t>If/Then/Else</w:t>
            </w:r>
            <w:r>
              <w:t xml:space="preserve">, </w:t>
            </w:r>
            <w:r w:rsidRPr="00FA483D">
              <w:t>Debug.Print</w:t>
            </w:r>
          </w:p>
        </w:tc>
      </w:tr>
      <w:tr w:rsidR="003846EC" w:rsidTr="0044343C">
        <w:tc>
          <w:tcPr>
            <w:cnfStyle w:val="001000000000" w:firstRow="0" w:lastRow="0" w:firstColumn="1" w:lastColumn="0" w:oddVBand="0" w:evenVBand="0" w:oddHBand="0" w:evenHBand="0" w:firstRowFirstColumn="0" w:firstRowLastColumn="0" w:lastRowFirstColumn="0" w:lastRowLastColumn="0"/>
            <w:tcW w:w="2093" w:type="dxa"/>
          </w:tcPr>
          <w:p w:rsidR="00BA3BD3" w:rsidRPr="00A60606" w:rsidRDefault="00BA3BD3" w:rsidP="00BA3BD3">
            <w:r w:rsidRPr="00A60606">
              <w:t>Tag 2, vormittags B</w:t>
            </w:r>
          </w:p>
        </w:tc>
        <w:tc>
          <w:tcPr>
            <w:tcW w:w="7119" w:type="dxa"/>
          </w:tcPr>
          <w:p w:rsidR="00BA3BD3" w:rsidRDefault="00BA3BD3" w:rsidP="00BA3BD3">
            <w:pPr>
              <w:cnfStyle w:val="000000000000" w:firstRow="0" w:lastRow="0" w:firstColumn="0" w:lastColumn="0" w:oddVBand="0" w:evenVBand="0" w:oddHBand="0" w:evenHBand="0" w:firstRowFirstColumn="0" w:firstRowLastColumn="0" w:lastRowFirstColumn="0" w:lastRowLastColumn="0"/>
            </w:pPr>
            <w:r w:rsidRPr="00FA483D">
              <w:t>Select Case</w:t>
            </w:r>
            <w:r>
              <w:t xml:space="preserve">, </w:t>
            </w:r>
            <w:r w:rsidRPr="00FA483D">
              <w:t>Word/Excel</w:t>
            </w:r>
            <w:r>
              <w:t xml:space="preserve">, </w:t>
            </w:r>
            <w:r w:rsidRPr="00FA483D">
              <w:t>Datenzugriff</w:t>
            </w:r>
          </w:p>
        </w:tc>
      </w:tr>
      <w:tr w:rsidR="003846EC" w:rsidTr="004434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Pr>
          <w:p w:rsidR="00BA3BD3" w:rsidRPr="00A60606" w:rsidRDefault="00BA3BD3" w:rsidP="00BA3BD3">
            <w:r w:rsidRPr="00A60606">
              <w:t>Tag 2, nachmittags A</w:t>
            </w:r>
          </w:p>
        </w:tc>
        <w:tc>
          <w:tcPr>
            <w:tcW w:w="7119" w:type="dxa"/>
          </w:tcPr>
          <w:p w:rsidR="00BA3BD3" w:rsidRDefault="00BA3BD3" w:rsidP="00BA3BD3">
            <w:pPr>
              <w:cnfStyle w:val="000000100000" w:firstRow="0" w:lastRow="0" w:firstColumn="0" w:lastColumn="0" w:oddVBand="0" w:evenVBand="0" w:oddHBand="1" w:evenHBand="0" w:firstRowFirstColumn="0" w:firstRowLastColumn="0" w:lastRowFirstColumn="0" w:lastRowLastColumn="0"/>
            </w:pPr>
            <w:r w:rsidRPr="00FA483D">
              <w:t>Formular</w:t>
            </w:r>
            <w:r>
              <w:t xml:space="preserve">, </w:t>
            </w:r>
            <w:r w:rsidRPr="00FA483D">
              <w:t>Excel-Daten lesen/schreiben</w:t>
            </w:r>
          </w:p>
        </w:tc>
      </w:tr>
      <w:tr w:rsidR="003846EC" w:rsidTr="0044343C">
        <w:tc>
          <w:tcPr>
            <w:cnfStyle w:val="001000000000" w:firstRow="0" w:lastRow="0" w:firstColumn="1" w:lastColumn="0" w:oddVBand="0" w:evenVBand="0" w:oddHBand="0" w:evenHBand="0" w:firstRowFirstColumn="0" w:firstRowLastColumn="0" w:lastRowFirstColumn="0" w:lastRowLastColumn="0"/>
            <w:tcW w:w="2093" w:type="dxa"/>
          </w:tcPr>
          <w:p w:rsidR="00BA3BD3" w:rsidRPr="00A60606" w:rsidRDefault="00BA3BD3" w:rsidP="00BA3BD3">
            <w:r w:rsidRPr="00A60606">
              <w:t>Tag 2, nachmittags B</w:t>
            </w:r>
          </w:p>
        </w:tc>
        <w:tc>
          <w:tcPr>
            <w:tcW w:w="7119" w:type="dxa"/>
          </w:tcPr>
          <w:p w:rsidR="00BA3BD3" w:rsidRDefault="00BA3BD3" w:rsidP="00BA3BD3">
            <w:pPr>
              <w:cnfStyle w:val="000000000000" w:firstRow="0" w:lastRow="0" w:firstColumn="0" w:lastColumn="0" w:oddVBand="0" w:evenVBand="0" w:oddHBand="0" w:evenHBand="0" w:firstRowFirstColumn="0" w:firstRowLastColumn="0" w:lastRowFirstColumn="0" w:lastRowLastColumn="0"/>
            </w:pPr>
            <w:r w:rsidRPr="00FA483D">
              <w:t>Formular</w:t>
            </w:r>
            <w:r>
              <w:t xml:space="preserve">, </w:t>
            </w:r>
            <w:r w:rsidRPr="00FA483D">
              <w:t>Word-Daten lesen/schreiben</w:t>
            </w:r>
          </w:p>
        </w:tc>
      </w:tr>
      <w:tr w:rsidR="003846EC" w:rsidTr="004434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Pr>
          <w:p w:rsidR="00BA3BD3" w:rsidRPr="00A60606" w:rsidRDefault="00BA3BD3" w:rsidP="00BA3BD3">
            <w:r w:rsidRPr="00A60606">
              <w:lastRenderedPageBreak/>
              <w:t>Tag 3, vormittags A</w:t>
            </w:r>
          </w:p>
        </w:tc>
        <w:tc>
          <w:tcPr>
            <w:tcW w:w="7119" w:type="dxa"/>
          </w:tcPr>
          <w:p w:rsidR="00BA3BD3" w:rsidRPr="00FA483D" w:rsidRDefault="00BA3BD3" w:rsidP="00BA3BD3">
            <w:pPr>
              <w:cnfStyle w:val="000000100000" w:firstRow="0" w:lastRow="0" w:firstColumn="0" w:lastColumn="0" w:oddVBand="0" w:evenVBand="0" w:oddHBand="1" w:evenHBand="0" w:firstRowFirstColumn="0" w:firstRowLastColumn="0" w:lastRowFirstColumn="0" w:lastRowLastColumn="0"/>
            </w:pPr>
            <w:r>
              <w:t xml:space="preserve">Wiederholung, Auflistungen, </w:t>
            </w:r>
            <w:r w:rsidRPr="00FA483D">
              <w:t>For Next</w:t>
            </w:r>
          </w:p>
        </w:tc>
      </w:tr>
      <w:tr w:rsidR="003846EC" w:rsidTr="0044343C">
        <w:tc>
          <w:tcPr>
            <w:cnfStyle w:val="001000000000" w:firstRow="0" w:lastRow="0" w:firstColumn="1" w:lastColumn="0" w:oddVBand="0" w:evenVBand="0" w:oddHBand="0" w:evenHBand="0" w:firstRowFirstColumn="0" w:firstRowLastColumn="0" w:lastRowFirstColumn="0" w:lastRowLastColumn="0"/>
            <w:tcW w:w="2093" w:type="dxa"/>
          </w:tcPr>
          <w:p w:rsidR="00BA3BD3" w:rsidRPr="00A60606" w:rsidRDefault="00BA3BD3" w:rsidP="00BA3BD3">
            <w:r w:rsidRPr="00A60606">
              <w:t>Tag 3, vormittags B</w:t>
            </w:r>
          </w:p>
        </w:tc>
        <w:tc>
          <w:tcPr>
            <w:tcW w:w="7119" w:type="dxa"/>
          </w:tcPr>
          <w:p w:rsidR="00BA3BD3" w:rsidRDefault="00BA3BD3" w:rsidP="00BA3BD3">
            <w:pPr>
              <w:cnfStyle w:val="000000000000" w:firstRow="0" w:lastRow="0" w:firstColumn="0" w:lastColumn="0" w:oddVBand="0" w:evenVBand="0" w:oddHBand="0" w:evenHBand="0" w:firstRowFirstColumn="0" w:firstRowLastColumn="0" w:lastRowFirstColumn="0" w:lastRowLastColumn="0"/>
            </w:pPr>
            <w:r>
              <w:t xml:space="preserve">Excel-Formular, </w:t>
            </w:r>
            <w:r w:rsidRPr="00A26B86">
              <w:t>Listbox</w:t>
            </w:r>
            <w:r>
              <w:t xml:space="preserve">, </w:t>
            </w:r>
            <w:r w:rsidRPr="00A26B86">
              <w:t>Worksheets-Liste</w:t>
            </w:r>
          </w:p>
        </w:tc>
      </w:tr>
      <w:tr w:rsidR="003846EC" w:rsidTr="004434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Pr>
          <w:p w:rsidR="00BA3BD3" w:rsidRPr="00A60606" w:rsidRDefault="00BA3BD3" w:rsidP="00BA3BD3">
            <w:r w:rsidRPr="00A60606">
              <w:t>Tag 3, nachmittags A</w:t>
            </w:r>
          </w:p>
        </w:tc>
        <w:tc>
          <w:tcPr>
            <w:tcW w:w="7119" w:type="dxa"/>
          </w:tcPr>
          <w:p w:rsidR="00BA3BD3" w:rsidRDefault="00BA3BD3" w:rsidP="00BA3BD3">
            <w:pPr>
              <w:cnfStyle w:val="000000100000" w:firstRow="0" w:lastRow="0" w:firstColumn="0" w:lastColumn="0" w:oddVBand="0" w:evenVBand="0" w:oddHBand="1" w:evenHBand="0" w:firstRowFirstColumn="0" w:firstRowLastColumn="0" w:lastRowFirstColumn="0" w:lastRowLastColumn="0"/>
            </w:pPr>
            <w:r>
              <w:t xml:space="preserve">For Each, </w:t>
            </w:r>
            <w:r w:rsidRPr="00A26B86">
              <w:t>Word-Liste</w:t>
            </w:r>
            <w:r>
              <w:t xml:space="preserve">, </w:t>
            </w:r>
            <w:r w:rsidRPr="00A26B86">
              <w:t>Documents</w:t>
            </w:r>
          </w:p>
        </w:tc>
      </w:tr>
      <w:tr w:rsidR="003846EC" w:rsidTr="0044343C">
        <w:tc>
          <w:tcPr>
            <w:cnfStyle w:val="001000000000" w:firstRow="0" w:lastRow="0" w:firstColumn="1" w:lastColumn="0" w:oddVBand="0" w:evenVBand="0" w:oddHBand="0" w:evenHBand="0" w:firstRowFirstColumn="0" w:firstRowLastColumn="0" w:lastRowFirstColumn="0" w:lastRowLastColumn="0"/>
            <w:tcW w:w="2093" w:type="dxa"/>
          </w:tcPr>
          <w:p w:rsidR="00BA3BD3" w:rsidRPr="00A60606" w:rsidRDefault="00BA3BD3" w:rsidP="00BA3BD3">
            <w:r w:rsidRPr="00A60606">
              <w:t>Tag 3, nachmittags B</w:t>
            </w:r>
          </w:p>
        </w:tc>
        <w:tc>
          <w:tcPr>
            <w:tcW w:w="7119" w:type="dxa"/>
          </w:tcPr>
          <w:p w:rsidR="00BA3BD3" w:rsidRDefault="00BA3BD3" w:rsidP="00BA3BD3">
            <w:pPr>
              <w:cnfStyle w:val="000000000000" w:firstRow="0" w:lastRow="0" w:firstColumn="0" w:lastColumn="0" w:oddVBand="0" w:evenVBand="0" w:oddHBand="0" w:evenHBand="0" w:firstRowFirstColumn="0" w:firstRowLastColumn="0" w:lastRowFirstColumn="0" w:lastRowLastColumn="0"/>
            </w:pPr>
            <w:r>
              <w:t xml:space="preserve">Do Loop, </w:t>
            </w:r>
            <w:r w:rsidRPr="00BA3BD3">
              <w:t>Dateien auflisten</w:t>
            </w:r>
          </w:p>
        </w:tc>
      </w:tr>
    </w:tbl>
    <w:p w:rsidR="00D04EC7" w:rsidRDefault="00791B33" w:rsidP="007671CA">
      <w:pPr>
        <w:spacing w:before="120"/>
      </w:pPr>
      <w:r>
        <w:t>Tatsächlich mache ich nachmittags statt 1,5</w:t>
      </w:r>
      <w:r w:rsidR="00AE248B">
        <w:t>-</w:t>
      </w:r>
      <w:r>
        <w:t xml:space="preserve">stündiger Module lieber </w:t>
      </w:r>
      <w:r w:rsidR="00AE248B">
        <w:t>jede Stunde</w:t>
      </w:r>
      <w:r>
        <w:t xml:space="preserve"> eine kurze Pause, weil die Konzentration sonst zu sehr nachlässt.</w:t>
      </w:r>
    </w:p>
    <w:p w:rsidR="00D04EC7" w:rsidRDefault="00791B33" w:rsidP="00027862">
      <w:r>
        <w:t>Video-Trainings werden hingege</w:t>
      </w:r>
      <w:r w:rsidR="00AE248B">
        <w:t>n in einzelne Videos zu je 3-7 </w:t>
      </w:r>
      <w:r>
        <w:t>Minuten aufgeteilt. Die Gesamtlänge des Trainings hängt vom Thema ab und variiert zwischen 1 Stunde und 8 Stunden.</w:t>
      </w:r>
    </w:p>
    <w:p w:rsidR="00027862" w:rsidRDefault="00A547E0" w:rsidP="00027862">
      <w:r>
        <w:rPr>
          <w:noProof/>
          <w:lang w:eastAsia="de-DE"/>
        </w:rPr>
        <w:drawing>
          <wp:anchor distT="0" distB="0" distL="114300" distR="114300" simplePos="0" relativeHeight="251648512" behindDoc="0" locked="0" layoutInCell="1" allowOverlap="1">
            <wp:simplePos x="0" y="0"/>
            <wp:positionH relativeFrom="column">
              <wp:posOffset>1688465</wp:posOffset>
            </wp:positionH>
            <wp:positionV relativeFrom="paragraph">
              <wp:posOffset>676275</wp:posOffset>
            </wp:positionV>
            <wp:extent cx="4407535" cy="3587750"/>
            <wp:effectExtent l="19050" t="19050" r="12065" b="12700"/>
            <wp:wrapSquare wrapText="bothSides"/>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ndex_HilfeDB.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407535" cy="3587750"/>
                    </a:xfrm>
                    <a:prstGeom prst="rect">
                      <a:avLst/>
                    </a:prstGeom>
                    <a:ln>
                      <a:solidFill>
                        <a:schemeClr val="bg1">
                          <a:lumMod val="50000"/>
                        </a:schemeClr>
                      </a:solidFill>
                    </a:ln>
                    <a:effectLst/>
                  </pic:spPr>
                </pic:pic>
              </a:graphicData>
            </a:graphic>
            <wp14:sizeRelH relativeFrom="margin">
              <wp14:pctWidth>0</wp14:pctWidth>
            </wp14:sizeRelH>
            <wp14:sizeRelV relativeFrom="margin">
              <wp14:pctHeight>0</wp14:pctHeight>
            </wp14:sizeRelV>
          </wp:anchor>
        </w:drawing>
      </w:r>
      <w:r w:rsidR="00791B33">
        <w:t xml:space="preserve">Es ist bei komplexen Zusammenhängen durchaus schwierig, ein Thema in etwa 5-minütige Videos aufzuteilen. Maximal darf so ein Video auch schon mal 10 Minuten lang sein, aber das strapaziert die Aufmerksamkeit und Geduld des Zuschauers schon sehr. </w:t>
      </w:r>
    </w:p>
    <w:p w:rsidR="00027862" w:rsidRDefault="00791B33" w:rsidP="00027862">
      <w:r>
        <w:t>Das nebenstehende Bild zeigt den Ausschnitt</w:t>
      </w:r>
      <w:r w:rsidR="00FF483F">
        <w:t xml:space="preserve"> aus einer Index-Datei für</w:t>
      </w:r>
      <w:r w:rsidR="002F55C3">
        <w:t xml:space="preserve"> ein kleines Video-Training zu ein</w:t>
      </w:r>
      <w:r w:rsidR="00FF483F">
        <w:t>er Access-Datenbank.</w:t>
      </w:r>
    </w:p>
    <w:p w:rsidR="00027862" w:rsidRDefault="00C5557F" w:rsidP="00027862">
      <w:r>
        <w:t>Wenn die Schulung eine eigene Access-Datenbank betrifft, ist es möglicherweise schwierig, deren Umfang abzuschätzen.</w:t>
      </w:r>
      <w:r w:rsidR="00165519">
        <w:t xml:space="preserve"> Schließlich sind dort die Themen nicht so selbstverständlich vorgegeben.</w:t>
      </w:r>
      <w:r>
        <w:t xml:space="preserve"> A</w:t>
      </w:r>
      <w:r w:rsidR="00165519">
        <w:t>ber a</w:t>
      </w:r>
      <w:r>
        <w:t>uch hier gilt: Weniger ist mehr. Jeder Teilnehmer erfährt möglichst nur, was er für seine Arbeit braucht.</w:t>
      </w:r>
    </w:p>
    <w:p w:rsidR="00C5557F" w:rsidRPr="00165519" w:rsidRDefault="00C5557F" w:rsidP="00027862">
      <w:r>
        <w:t xml:space="preserve">Anhand verschiedener eigener Beispiele würde ich als Größenordnung für solche Schulungen rund 10 % des eigentlichen Entwicklungsaufwands vorschlagen. Das erste Beispiel betrifft eine recht kleine Datenbank mit </w:t>
      </w:r>
      <w:r w:rsidR="00E02136">
        <w:t>15 Tabellen und etwa 1.0</w:t>
      </w:r>
      <w:r>
        <w:t>00 Zeilen VBA-Code. Das BackEnd ist mit einigen Beispieldaten rund 1 MB klein und das FrontEnd ebenfalls nur 1,5 MB klein. Die Datenbank selber hat in der Entwicklung 40 Stunden gebraucht und bei der Übergabe ist etwa ein halber Tag Einweisung nötig. Das sind 4 Stunden Schulung bei 40 Stunden Entwicklung</w:t>
      </w:r>
      <w:r w:rsidR="00C7350D">
        <w:t xml:space="preserve"> bzw</w:t>
      </w:r>
      <w:r w:rsidR="00C7350D" w:rsidRPr="00165519">
        <w:t>. 10 %</w:t>
      </w:r>
      <w:r w:rsidRPr="00165519">
        <w:t>.</w:t>
      </w:r>
    </w:p>
    <w:p w:rsidR="00C5557F" w:rsidRDefault="000311C9" w:rsidP="00027862">
      <w:r>
        <w:t>Ein deutlich umfangreicheres Beispiel einer in mehreren Jahren entwickelten Datenbank</w:t>
      </w:r>
      <w:r w:rsidR="00A60606">
        <w:t xml:space="preserve"> enthält 75 Tabellen und 15.000 </w:t>
      </w:r>
      <w:r>
        <w:t xml:space="preserve">Zeilen VBA-Code. Das BackEnd ist im Echtbetrieb 15 MB groß und auch das FrontEnd </w:t>
      </w:r>
      <w:r w:rsidR="001F5D4D">
        <w:t>ist inzwischen auf rund 15 MB Größe angewachsen. Die 1.000 Stunden Erstellungsaufwand entsprechen</w:t>
      </w:r>
      <w:r w:rsidR="001E175B">
        <w:t xml:space="preserve"> bei dem dortigen Stundensatz</w:t>
      </w:r>
      <w:r w:rsidR="001F5D4D">
        <w:t xml:space="preserve"> 70.000,- € Kosten.</w:t>
      </w:r>
    </w:p>
    <w:p w:rsidR="00C5557F" w:rsidRDefault="001E175B" w:rsidP="00027862">
      <w:r>
        <w:lastRenderedPageBreak/>
        <w:t>Für die Schulung der Benutzer braucht es da</w:t>
      </w:r>
      <w:r w:rsidR="001F5D4D">
        <w:t xml:space="preserve"> </w:t>
      </w:r>
      <w:r>
        <w:t>5 Schulungstage zu je 5</w:t>
      </w:r>
      <w:r w:rsidR="00165519">
        <w:t>6</w:t>
      </w:r>
      <w:r>
        <w:t>0,- €</w:t>
      </w:r>
      <w:r w:rsidR="00165519">
        <w:t xml:space="preserve"> (=2.8</w:t>
      </w:r>
      <w:r>
        <w:t>00,- €) sowie eine Dokumentation von 100 Seiten. Solche Dokumentationen schreibe ich mit ca. 2 Seiten je Stunde, bei dem oben kalkulierten Stundensatz von 70,- € sind das also 3.500,- €</w:t>
      </w:r>
      <w:r w:rsidR="00C7350D">
        <w:t xml:space="preserve">. </w:t>
      </w:r>
      <w:r w:rsidR="0038729D">
        <w:t>Diese Summe von 6.300,- €</w:t>
      </w:r>
      <w:r w:rsidR="00C7350D">
        <w:t xml:space="preserve"> entspricht knapp </w:t>
      </w:r>
      <w:r w:rsidR="00C7350D" w:rsidRPr="00165519">
        <w:t>9 %</w:t>
      </w:r>
      <w:r w:rsidR="00C7350D">
        <w:t xml:space="preserve"> der Entwicklungskosten.</w:t>
      </w:r>
    </w:p>
    <w:p w:rsidR="00C44E2F" w:rsidRDefault="00C44E2F" w:rsidP="0038729D">
      <w:pPr>
        <w:pStyle w:val="berschrift1"/>
      </w:pPr>
      <w:r>
        <w:t>Schulungen durchführen</w:t>
      </w:r>
    </w:p>
    <w:p w:rsidR="00935272" w:rsidRPr="00935272" w:rsidRDefault="00935272" w:rsidP="00935272">
      <w:r>
        <w:t>Bei der Durchführung einer Schulung sind eigentlich regelmäßig die gleichen Aspekte zu beachten.</w:t>
      </w:r>
      <w:r w:rsidR="00255ADC">
        <w:t xml:space="preserve"> Diese gelten nicht nur für größere Gruppen, sondern beispielsweise im Stil der Fragen oder der Auswahl der Teilnehmer auch für Einzel-Coachings.</w:t>
      </w:r>
    </w:p>
    <w:p w:rsidR="00C5557F" w:rsidRDefault="00A67FCF" w:rsidP="00C44E2F">
      <w:pPr>
        <w:pStyle w:val="berschrift2"/>
      </w:pPr>
      <w:r>
        <w:t>Teilnehmer</w:t>
      </w:r>
    </w:p>
    <w:p w:rsidR="00027862" w:rsidRDefault="0038729D" w:rsidP="00027862">
      <w:r>
        <w:t>Es gibt nicht den typischen Schulungsteilnehmer, denn die Motivation zur Teilnahme ist sehr unterschiedlich. Manche werden dorthin geschickt, weil beispielsweise diese Datenbank nun firmenweit eingeführt wird, andere melden sich aus Eigeninteresse an.</w:t>
      </w:r>
    </w:p>
    <w:p w:rsidR="0038729D" w:rsidRDefault="0038729D" w:rsidP="00027862">
      <w:r>
        <w:t>Daher sind auch die Wünsche an die Schulung sehr unterschiedlich, manche "Teilnehmer" wissen noch nicht einmal, dass sie an einer Schulung teilnehmen.</w:t>
      </w:r>
    </w:p>
    <w:p w:rsidR="00143996" w:rsidRDefault="00143996" w:rsidP="00027862">
      <w:r>
        <w:rPr>
          <w:noProof/>
          <w:lang w:eastAsia="de-DE"/>
        </w:rPr>
        <w:drawing>
          <wp:inline distT="0" distB="0" distL="0" distR="0" wp14:anchorId="25877DF2" wp14:editId="59F77FA2">
            <wp:extent cx="5760720" cy="1468120"/>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klassenraum.png"/>
                    <pic:cNvPicPr/>
                  </pic:nvPicPr>
                  <pic:blipFill>
                    <a:blip r:embed="rId19">
                      <a:extLst>
                        <a:ext uri="{28A0092B-C50C-407E-A947-70E740481C1C}">
                          <a14:useLocalDpi xmlns:a14="http://schemas.microsoft.com/office/drawing/2010/main" val="0"/>
                        </a:ext>
                      </a:extLst>
                    </a:blip>
                    <a:stretch>
                      <a:fillRect/>
                    </a:stretch>
                  </pic:blipFill>
                  <pic:spPr>
                    <a:xfrm>
                      <a:off x="0" y="0"/>
                      <a:ext cx="5760720" cy="1468120"/>
                    </a:xfrm>
                    <a:prstGeom prst="rect">
                      <a:avLst/>
                    </a:prstGeom>
                  </pic:spPr>
                </pic:pic>
              </a:graphicData>
            </a:graphic>
          </wp:inline>
        </w:drawing>
      </w:r>
    </w:p>
    <w:p w:rsidR="00027862" w:rsidRDefault="0038729D" w:rsidP="00027862">
      <w:r>
        <w:t>Neben dem klassischen Anwender eines Programms gibt es vor allem bei einer von Euch entwickelten Datenbank noch mehr Pe</w:t>
      </w:r>
      <w:r w:rsidR="003C6C80">
        <w:t>rsonen, die Ihr schulen solltet:</w:t>
      </w:r>
    </w:p>
    <w:p w:rsidR="003C6C80" w:rsidRDefault="003C6C80" w:rsidP="003C6C80">
      <w:pPr>
        <w:pStyle w:val="meineListe"/>
      </w:pPr>
      <w:r>
        <w:t xml:space="preserve">Der </w:t>
      </w:r>
      <w:r w:rsidRPr="003C6C80">
        <w:rPr>
          <w:rStyle w:val="Wichtig"/>
        </w:rPr>
        <w:t>Co-Entwickler</w:t>
      </w:r>
      <w:r>
        <w:t xml:space="preserve"> ist entweder im (leider viel zu selten praktizierten) Pair-Programming der tatsächliche Mitprogrammierer oder meistens eher der fachliche Ansprechpartner in der Firma. Er kennt sich inhaltlich mit dem Thema aus und bildet für Euch die Schnittstelle zur Datenbank. Er muss ausführlich und tiefgreifend über die Datenbank informiert werden.</w:t>
      </w:r>
      <w:r w:rsidR="00B42FFD">
        <w:t xml:space="preserve"> Da das meistens nur eine Person ist, wird es eher ein Coaching als eine Gruppen-Schulung, das bedeutet aber nicht weniger Sorgfalt oder einen Mangel an Zeitplanung.</w:t>
      </w:r>
    </w:p>
    <w:p w:rsidR="00B42FFD" w:rsidRDefault="00B42FFD" w:rsidP="003C6C80">
      <w:pPr>
        <w:pStyle w:val="meineListe"/>
      </w:pPr>
      <w:r>
        <w:t xml:space="preserve">Der </w:t>
      </w:r>
      <w:r w:rsidRPr="00B42FFD">
        <w:rPr>
          <w:rStyle w:val="Wichtig"/>
        </w:rPr>
        <w:t>Administrator</w:t>
      </w:r>
      <w:r>
        <w:t xml:space="preserve"> muss wenigstens Platz und Zugriffsrechte beispielsweise für ein BackEnd bereitstellen. Bei einer Anbindung an ein größeres SQL-BackEnd muss er genau erfahren, welche Tabellen und Views mit welchen Anforderungen benötigt werden. Auch dafür müsst Ihr Informationen bereitstellen, die keineswegs so nebenbei erledigt werden können. Gerade hier bei technischen Details kann sich Wohl und Wehe der Datenbank entscheiden. Sorgt unbedingt dafür, dass der Administrator Euch lieb hat!</w:t>
      </w:r>
    </w:p>
    <w:p w:rsidR="00B42FFD" w:rsidRDefault="00B42FFD" w:rsidP="003C6C80">
      <w:pPr>
        <w:pStyle w:val="meineListe"/>
      </w:pPr>
      <w:r>
        <w:t xml:space="preserve">Der </w:t>
      </w:r>
      <w:r w:rsidRPr="00B42FFD">
        <w:rPr>
          <w:rStyle w:val="Wichtig"/>
        </w:rPr>
        <w:t>Chef</w:t>
      </w:r>
      <w:r>
        <w:t xml:space="preserve"> bzw. der finanziell oder politisch Verantwortliche möchte am liebsten gar nichts wissen außer der abschließenden Erfolgsmeldung und möglichst geringen Kosten. Ihn müsst Ihr mit allgemeinen Informationen über den Nutzen der Datenbank versorgen ("Was ging vorher nicht und jetzt schon? Warum ist das wichtig? Wie viel schneller kann die Arbeit gemacht werden? Welche Informationen aus der DB helfen mir weiter?"). Schwierigkeiten oder gar technische Detailprobleme will er nicht hören. Ihr sollt nicht jammern, sondern Lösungen präsentieren.</w:t>
      </w:r>
    </w:p>
    <w:p w:rsidR="00B42FFD" w:rsidRDefault="00B42FFD" w:rsidP="003C6C80">
      <w:pPr>
        <w:pStyle w:val="meineListe"/>
      </w:pPr>
      <w:r>
        <w:lastRenderedPageBreak/>
        <w:t xml:space="preserve">Der </w:t>
      </w:r>
      <w:r w:rsidRPr="00B42FFD">
        <w:rPr>
          <w:rStyle w:val="Wichtig"/>
        </w:rPr>
        <w:t>Anwender</w:t>
      </w:r>
      <w:r>
        <w:t xml:space="preserve"> hat meistens Besseres zu tun, als sich in seiner knapp bemessenen Zeit fortzubilden. Das gilt vor allem, wenn er nicht nur eine </w:t>
      </w:r>
      <w:r w:rsidR="007D5FC7">
        <w:t xml:space="preserve">von Euch </w:t>
      </w:r>
      <w:r>
        <w:t xml:space="preserve">entwickelte Datenbank vorgesetzt bekommen hat, sondern nun auch noch </w:t>
      </w:r>
      <w:r w:rsidR="007D5FC7">
        <w:t>Zeit für eine Schulung opfern muss. Beides stört ihn in seinem normalen Arbeitsablauf und Ihr seid schuld (auch wenn der Auftrag eigentlich von seinem Chef kam). Also fasst Euch kurz und konzentriert Euch auf das Wesentliche.</w:t>
      </w:r>
    </w:p>
    <w:p w:rsidR="00A67FCF" w:rsidRDefault="00A67FCF" w:rsidP="00A67FCF">
      <w:pPr>
        <w:pStyle w:val="berschrift2"/>
      </w:pPr>
      <w:r>
        <w:t>Termine</w:t>
      </w:r>
    </w:p>
    <w:p w:rsidR="007D5FC7" w:rsidRDefault="00F4272F" w:rsidP="007D5FC7">
      <w:r>
        <w:t xml:space="preserve">Die "Schulungen" für diese </w:t>
      </w:r>
      <w:r w:rsidR="002F55C3">
        <w:t xml:space="preserve">recht </w:t>
      </w:r>
      <w:r>
        <w:t xml:space="preserve">verschiedenen Zielgruppen werden </w:t>
      </w:r>
      <w:r w:rsidR="002F55C3">
        <w:t>daher auch sehr unterschiedlich ausfallen, sowohl thematisch als auch zeitlich.</w:t>
      </w:r>
      <w:r w:rsidR="00A67FCF">
        <w:t xml:space="preserve"> Der Termin ist nicht einfach nur der Tag, an dem eine Präsenzschulung stattfindet, das wäre zu kurz gedacht.</w:t>
      </w:r>
    </w:p>
    <w:p w:rsidR="00F4272F" w:rsidRDefault="00F4272F" w:rsidP="00F4272F">
      <w:pPr>
        <w:pStyle w:val="meineListe"/>
      </w:pPr>
      <w:r>
        <w:t xml:space="preserve">Der </w:t>
      </w:r>
      <w:r w:rsidRPr="00F4272F">
        <w:rPr>
          <w:rStyle w:val="Wichtig"/>
        </w:rPr>
        <w:t>Co-Entwickler</w:t>
      </w:r>
      <w:r>
        <w:t xml:space="preserve"> muss viel Zeit investieren und entsprechend hoch motiviert sein, damit Eure gemeinsame Arbeit ein Erfolg wird. Eigentlich ist es meistens gar keine explizite Schulung, sondern Ihr sitzt fast durchgängig an einem gemeinsamen Arbeitsplatz. Co-Entwickler, die nur gelegentlich mal vorbeischauen und sich im Vorbeiflug kurz informieren lassen, könnt Ihr vergessen.</w:t>
      </w:r>
    </w:p>
    <w:p w:rsidR="00F4272F" w:rsidRDefault="00F4272F" w:rsidP="00F4272F">
      <w:pPr>
        <w:pStyle w:val="meineListe"/>
      </w:pPr>
      <w:r>
        <w:t xml:space="preserve">Der </w:t>
      </w:r>
      <w:r w:rsidRPr="00AD1F49">
        <w:rPr>
          <w:rStyle w:val="Wichtig"/>
        </w:rPr>
        <w:t>Administrator</w:t>
      </w:r>
      <w:r>
        <w:t xml:space="preserve"> ist genervt, da</w:t>
      </w:r>
      <w:r w:rsidR="00AD1F49">
        <w:t>s</w:t>
      </w:r>
      <w:r>
        <w:t>s Ihr ihm mit Eurer Datenbank extra Arbeit verursacht.</w:t>
      </w:r>
      <w:r w:rsidR="00AD1F49">
        <w:t xml:space="preserve"> Er macht sich gerne unerreichbar, damit er nicht noch mehr gestört wird. Oft ist er bestenfalls per Telefon oder Mail erreichbar. Schreibt ihm per Mail alle technischen Anforderungen, damit er sie genau nachlesen kann. Das tut er aber nicht, also telefoniert Ihr irgendwann mit ihm und installiert alles live. Vergesst nicht, ihm für seinen Dienst an der Menschheit zu danken, er muss nämlich nächste Woche noch mal für Euch ein paar technische Feinheiten korrigieren.</w:t>
      </w:r>
    </w:p>
    <w:p w:rsidR="00AD1F49" w:rsidRDefault="00AD1F49" w:rsidP="00F4272F">
      <w:pPr>
        <w:pStyle w:val="meineListe"/>
      </w:pPr>
      <w:r>
        <w:t xml:space="preserve">Der </w:t>
      </w:r>
      <w:r w:rsidRPr="00AD1F49">
        <w:rPr>
          <w:rStyle w:val="Wichtig"/>
        </w:rPr>
        <w:t>Chef</w:t>
      </w:r>
      <w:r>
        <w:t xml:space="preserve"> ist zwischen zwei wichtigen Sitzungen nur mit einem halben Ohr für Euch da. Wenn Ihr viel Glück habt, übernimmt Euer Co-Entwickler die schwierige Aufgabe, ihm den Einsatz der Datenbank</w:t>
      </w:r>
      <w:r w:rsidR="008B2233">
        <w:t xml:space="preserve"> zu erläutern</w:t>
      </w:r>
      <w:r>
        <w:t>. Letzten Endes benutzt der Chef die Datenbank ja sowieso nicht, aber er soll das Gefühl haben, dass alles gut läuft und er jederzeit damit arbeiten könnte.</w:t>
      </w:r>
    </w:p>
    <w:p w:rsidR="008B2233" w:rsidRDefault="008B2233" w:rsidP="00F4272F">
      <w:pPr>
        <w:pStyle w:val="meineListe"/>
      </w:pPr>
      <w:r>
        <w:t xml:space="preserve">Der </w:t>
      </w:r>
      <w:r w:rsidRPr="008B2233">
        <w:rPr>
          <w:rStyle w:val="Wichtig"/>
        </w:rPr>
        <w:t>Anwender</w:t>
      </w:r>
      <w:r>
        <w:t xml:space="preserve"> schließlich möchte </w:t>
      </w:r>
      <w:r w:rsidR="00A83340">
        <w:t>alles wissen, aber nichts lernen müssen. Außerdem hat vorher mit seinen einunddreißig Excel-Listen doch auch alles funktioniert und wieso ist jetzt alles anders</w:t>
      </w:r>
      <w:r w:rsidR="002F55C3">
        <w:t>?</w:t>
      </w:r>
      <w:r w:rsidR="00A83340">
        <w:t xml:space="preserve"> Ihr müsst es also schaffen, in möglichst kurzer Zeit genau die Fragen zu beantworten, die er gar nicht stellt. Auch da ist der Co-Entwickler eine große Hilfe, weil er weiß, wie seine Kollegen "ticken". Am besten hält er sogar</w:t>
      </w:r>
      <w:r w:rsidR="002F55C3">
        <w:t xml:space="preserve"> selber</w:t>
      </w:r>
      <w:r w:rsidR="00A83340">
        <w:t xml:space="preserve"> die Schulung</w:t>
      </w:r>
      <w:r w:rsidR="002F55C3">
        <w:t>, wenn Ihr</w:t>
      </w:r>
      <w:r w:rsidR="00A83340">
        <w:t xml:space="preserve"> eine Datenbank entwickelt habt, weil er die Sprache der Anwender spricht.</w:t>
      </w:r>
    </w:p>
    <w:p w:rsidR="00027862" w:rsidRDefault="00143996" w:rsidP="00027862">
      <w:r>
        <w:rPr>
          <w:noProof/>
          <w:lang w:eastAsia="de-DE"/>
        </w:rPr>
        <w:drawing>
          <wp:anchor distT="0" distB="0" distL="114300" distR="114300" simplePos="0" relativeHeight="251662848" behindDoc="1" locked="0" layoutInCell="1" allowOverlap="1">
            <wp:simplePos x="0" y="0"/>
            <wp:positionH relativeFrom="column">
              <wp:posOffset>-306070</wp:posOffset>
            </wp:positionH>
            <wp:positionV relativeFrom="paragraph">
              <wp:posOffset>47266</wp:posOffset>
            </wp:positionV>
            <wp:extent cx="2910205" cy="1939290"/>
            <wp:effectExtent l="19050" t="19050" r="23495" b="22860"/>
            <wp:wrapSquare wrapText="bothSides"/>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uhr.jpg"/>
                    <pic:cNvPicPr/>
                  </pic:nvPicPr>
                  <pic:blipFill rotWithShape="1">
                    <a:blip r:embed="rId20" cstate="print">
                      <a:extLst>
                        <a:ext uri="{28A0092B-C50C-407E-A947-70E740481C1C}">
                          <a14:useLocalDpi xmlns:a14="http://schemas.microsoft.com/office/drawing/2010/main" val="0"/>
                        </a:ext>
                      </a:extLst>
                    </a:blip>
                    <a:srcRect t="1"/>
                    <a:stretch/>
                  </pic:blipFill>
                  <pic:spPr bwMode="auto">
                    <a:xfrm>
                      <a:off x="0" y="0"/>
                      <a:ext cx="2910205" cy="1939290"/>
                    </a:xfrm>
                    <a:prstGeom prst="rect">
                      <a:avLst/>
                    </a:prstGeom>
                    <a:ln>
                      <a:solidFill>
                        <a:schemeClr val="bg1">
                          <a:lumMod val="50000"/>
                        </a:schemeClr>
                      </a:solid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C4A61">
        <w:t>Entsprechend unterschiedlich sind die Termine, wann diese "Schulungen" stattfinden. Der Chef muss bereits lange vor dem ersten Handgriff in Access die Zielrichtung und die Vorteile der Datenbank erfahren. Bei einer allgemeinen Schulung zu einem Programm müssen jetzt die Themen auf den Tisch kommen und warum seine Mitarbeiter das brauchen.</w:t>
      </w:r>
      <w:r w:rsidR="002F55C3">
        <w:t xml:space="preserve"> Für eine konkret entwickelte Datenbank ist die Kick-Off-Sitzung der geeignete Termin.</w:t>
      </w:r>
    </w:p>
    <w:p w:rsidR="002C4A61" w:rsidRDefault="002C4A61" w:rsidP="00027862">
      <w:r>
        <w:t xml:space="preserve">Der Co-Entwickler wird parallel die ganze Zeit während der Entwicklung geschult. Tatsächlich ist das eher eine gegenseitige Schulung, denn auch Ihr lernt viel von ihm. Sehr wichtig ist das "Wording", also welche Begriffe in dieser Firma für welche Objekte oder Aktionen benutzt werden. Es bringt nichts, wenn Ihr über die </w:t>
      </w:r>
      <w:r w:rsidR="001839DE">
        <w:t>"</w:t>
      </w:r>
      <w:r>
        <w:t xml:space="preserve">Datensätze der </w:t>
      </w:r>
      <w:r w:rsidR="001839DE">
        <w:t>Aktionen-Tabelle" redet, während alle Mitarbeiter das als "Verkäufe" bezeichnen.</w:t>
      </w:r>
    </w:p>
    <w:p w:rsidR="001839DE" w:rsidRDefault="001839DE" w:rsidP="00027862">
      <w:r>
        <w:lastRenderedPageBreak/>
        <w:t>Es ist bei selbstentwickelten Datenbanken hilfreich, wenn Ihr Euch sehr frühzeitig informiert, wer als Administrator zuständig ist und diesen schon mal freundlich fragt, ob er irgendwelche Vorgaben oder Wünsche hat. Wahrscheinlich ist er auch derjenige, der Euch Platz für Tests und Zugriffe auf Firmenaccounts zuteilt. Ansonsten braucht Ihr ihn zum Ende hin noch mal, um alles korrekt im Echtbetrieb zu installieren.</w:t>
      </w:r>
    </w:p>
    <w:p w:rsidR="001839DE" w:rsidRDefault="001839DE" w:rsidP="00027862">
      <w:r>
        <w:t xml:space="preserve">Der Anwender schließlich darf schon </w:t>
      </w:r>
      <w:r w:rsidR="002F55C3">
        <w:t xml:space="preserve">früh </w:t>
      </w:r>
      <w:r>
        <w:t>erfahren, dass da ein ganz tolles neues System auf ihn zukommt.</w:t>
      </w:r>
      <w:r w:rsidR="003A43BA">
        <w:t xml:space="preserve"> Danach braucht es ein abgestuftes System von "Schulungen":</w:t>
      </w:r>
    </w:p>
    <w:p w:rsidR="003A43BA" w:rsidRDefault="003A43BA" w:rsidP="003A43BA">
      <w:pPr>
        <w:pStyle w:val="meineListe"/>
      </w:pPr>
      <w:r>
        <w:t xml:space="preserve">Eine kurze </w:t>
      </w:r>
      <w:r w:rsidRPr="003A43BA">
        <w:rPr>
          <w:rStyle w:val="Wichtig"/>
        </w:rPr>
        <w:t>Präsentation</w:t>
      </w:r>
      <w:r>
        <w:t xml:space="preserve"> für alle Mitarbeiter gleichzeitig gibt einen Überblick über die Fähigkeiten einer neuen Datenbank. Für ein bereits bekanntes Programm wie beispielsweise Access kann dieser Teil entfallen.</w:t>
      </w:r>
      <w:r w:rsidR="002F55C3">
        <w:t xml:space="preserve"> Alternativ reicht, um dem zukünftigen Anwender Zeit zu sparen, eine Rund-Mail oder vielleicht ein kurzer Artikel im firmeninternen Magazin.</w:t>
      </w:r>
    </w:p>
    <w:p w:rsidR="003A43BA" w:rsidRDefault="003A43BA" w:rsidP="003A43BA">
      <w:pPr>
        <w:pStyle w:val="meineListe"/>
      </w:pPr>
      <w:r w:rsidRPr="003A43BA">
        <w:rPr>
          <w:rStyle w:val="Wichtig"/>
        </w:rPr>
        <w:t>Präsenzschulungen</w:t>
      </w:r>
      <w:r>
        <w:t xml:space="preserve"> oder </w:t>
      </w:r>
      <w:r w:rsidRPr="003A43BA">
        <w:rPr>
          <w:rStyle w:val="Wichtig"/>
        </w:rPr>
        <w:t>Lern-Videos</w:t>
      </w:r>
      <w:r>
        <w:t xml:space="preserve"> zu konkreten Themen bilden den eigentlichen Kern der Schulung. Die Tendenz geht zwar immer mehr zu passiven Medien wie schriftlichen Unterlagen oder Lern-Videos, aber nur die aktive Mitarbeit ist geeignet, neue Inhalte dauerhaft im Gehirn zu verankern.</w:t>
      </w:r>
    </w:p>
    <w:p w:rsidR="003A43BA" w:rsidRDefault="003A43BA" w:rsidP="003A43BA">
      <w:pPr>
        <w:pStyle w:val="meineListe"/>
      </w:pPr>
      <w:r w:rsidRPr="003A43BA">
        <w:t xml:space="preserve">Danach könnte ein abgestimmtes System die noch fehlenden (oder wieder vergessenen) Informationen nachreichen. Das geht von echten </w:t>
      </w:r>
      <w:r w:rsidRPr="003A43BA">
        <w:rPr>
          <w:rStyle w:val="Wichtig"/>
        </w:rPr>
        <w:t>Hilfedateien</w:t>
      </w:r>
      <w:r w:rsidRPr="003A43BA">
        <w:t xml:space="preserve"> innerhalb des Programms bzw. der Datenbank bis hin zu </w:t>
      </w:r>
      <w:r w:rsidRPr="003A43BA">
        <w:rPr>
          <w:rStyle w:val="Wichtig"/>
        </w:rPr>
        <w:t>telefonischem</w:t>
      </w:r>
      <w:r w:rsidRPr="003A43BA">
        <w:t xml:space="preserve"> oder </w:t>
      </w:r>
      <w:r w:rsidRPr="003A43BA">
        <w:rPr>
          <w:rStyle w:val="Wichtig"/>
        </w:rPr>
        <w:t>Mail-Support</w:t>
      </w:r>
      <w:r w:rsidRPr="003A43BA">
        <w:t>.</w:t>
      </w:r>
    </w:p>
    <w:p w:rsidR="003A43BA" w:rsidRDefault="00C44E2F" w:rsidP="00C44E2F">
      <w:pPr>
        <w:pStyle w:val="berschrift2"/>
      </w:pPr>
      <w:r>
        <w:t>Stil</w:t>
      </w:r>
    </w:p>
    <w:p w:rsidR="00E04AB0" w:rsidRDefault="00F35412" w:rsidP="00E04AB0">
      <w:r>
        <w:t>Ganz selbstverständlich wird bei einer Präsenz-Schulung von einer typischen Lehrveranstaltung ausgegangen, also einer Person, die vorne referiert, sowie vielen Teilnehmern, die zuhören oder zuschauen.</w:t>
      </w:r>
      <w:r w:rsidR="002534D6">
        <w:t xml:space="preserve"> Da</w:t>
      </w:r>
      <w:r>
        <w:t xml:space="preserve"> ist </w:t>
      </w:r>
      <w:r w:rsidR="002534D6">
        <w:t>eigentlich nur der Dozent aktiv,</w:t>
      </w:r>
      <w:r>
        <w:t xml:space="preserve"> </w:t>
      </w:r>
      <w:r w:rsidR="002534D6">
        <w:t>d</w:t>
      </w:r>
      <w:r>
        <w:t>ie Teilnehmer bleiben passiv und lernen entsprechend wenig.</w:t>
      </w:r>
    </w:p>
    <w:p w:rsidR="00F35412" w:rsidRDefault="00F35412" w:rsidP="00E04AB0">
      <w:r>
        <w:t xml:space="preserve">Das wird gerne gemischt mit </w:t>
      </w:r>
      <w:r w:rsidR="002534D6">
        <w:t>Übungsphasen, bei denen die Teilnehmer vorgegebene Aufgaben lösen. Dadurch werden sie zwar aktiver, aber es bleibt eine hierarchische Veranstaltung mit vorgegebenen Themen und Strukturen von oben.</w:t>
      </w:r>
    </w:p>
    <w:p w:rsidR="002534D6" w:rsidRDefault="00A547E0" w:rsidP="00E04AB0">
      <w:r>
        <w:rPr>
          <w:noProof/>
          <w:lang w:eastAsia="de-DE"/>
        </w:rPr>
        <w:drawing>
          <wp:anchor distT="0" distB="0" distL="114300" distR="114300" simplePos="0" relativeHeight="251667968" behindDoc="0" locked="0" layoutInCell="1" allowOverlap="1">
            <wp:simplePos x="0" y="0"/>
            <wp:positionH relativeFrom="column">
              <wp:posOffset>-341630</wp:posOffset>
            </wp:positionH>
            <wp:positionV relativeFrom="paragraph">
              <wp:posOffset>38348</wp:posOffset>
            </wp:positionV>
            <wp:extent cx="2808605" cy="2463165"/>
            <wp:effectExtent l="19050" t="19050" r="10795" b="13335"/>
            <wp:wrapSquare wrapText="bothSides"/>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AEK17_IMG_20140927_135450_1.jpg"/>
                    <pic:cNvPicPr/>
                  </pic:nvPicPr>
                  <pic:blipFill>
                    <a:blip r:embed="rId21">
                      <a:extLst>
                        <a:ext uri="{28A0092B-C50C-407E-A947-70E740481C1C}">
                          <a14:useLocalDpi xmlns:a14="http://schemas.microsoft.com/office/drawing/2010/main" val="0"/>
                        </a:ext>
                      </a:extLst>
                    </a:blip>
                    <a:stretch>
                      <a:fillRect/>
                    </a:stretch>
                  </pic:blipFill>
                  <pic:spPr>
                    <a:xfrm>
                      <a:off x="0" y="0"/>
                      <a:ext cx="2808605" cy="2463165"/>
                    </a:xfrm>
                    <a:prstGeom prst="rect">
                      <a:avLst/>
                    </a:prstGeom>
                    <a:ln>
                      <a:solidFill>
                        <a:schemeClr val="bg1">
                          <a:lumMod val="50000"/>
                        </a:schemeClr>
                      </a:solidFill>
                    </a:ln>
                    <a:effectLst/>
                  </pic:spPr>
                </pic:pic>
              </a:graphicData>
            </a:graphic>
          </wp:anchor>
        </w:drawing>
      </w:r>
      <w:r w:rsidR="002700DD">
        <w:t>Die Alternative dazu ist eine Arbeitsgruppe, bei der sich gleichrangige Kollegen gemeinsam ein Thema erarbeiten oder wenigstens gegenseitig auf den neuesten Stand bringen. Diese Technik dürfte Euch aus den Access-Stammtischen ganz geläufig sein. Nur das Bier fehlt in der Firma.</w:t>
      </w:r>
    </w:p>
    <w:p w:rsidR="00A67FCF" w:rsidRDefault="00A67FCF" w:rsidP="00E04AB0">
      <w:r>
        <w:t>Auch die Art Eurer Fragen in einer Schulung spiegelt die Beteiligung der Teilnehmer wider. Offene Fragen (so genannte W-Fragen, weil sie typischerweise mit "Wie.." oder ähnlichen Fragewörtern beginnen) ermuntern die Teilnehmer zu aktiver Teilnahme. Sie führen im besten Falle zu gemeinsamen Diskussionen.</w:t>
      </w:r>
    </w:p>
    <w:p w:rsidR="00A67FCF" w:rsidRDefault="00A67FCF" w:rsidP="00E04AB0">
      <w:r>
        <w:t>Geschlossene Fragen dienen oft eher dazu, Wissen abzufragen oder erledigte Aufgaben zu kontrollieren. Sie sind meistens mit Ja/Nein oder Entweder/Oder-Begriffen zu beantworten</w:t>
      </w:r>
      <w:r w:rsidR="00B848B8">
        <w:t>: "Funktioniert die Abfrage bei Ihnen?" oder "Sollen wir lieber Formulare oder Berichte besprechen?". Das sind klare Anzeichen für eine hierarchisch organisierte Schulung.</w:t>
      </w:r>
    </w:p>
    <w:p w:rsidR="002700DD" w:rsidRDefault="002700DD" w:rsidP="00E04AB0">
      <w:r>
        <w:lastRenderedPageBreak/>
        <w:t>Wenn es ein starkes Informationsgefälle zwischen Euch als Entwickler der Datenbank und den Nutzern gibt, scheint es unmöglich, solche gegenseitigen Schulungen durchzuführen.</w:t>
      </w:r>
      <w:r w:rsidR="0043199C">
        <w:t xml:space="preserve"> Dabei überseht Ihr, dass auch die Anwender viel wissen. Sie sind Euch fachlich (nicht in Access, sondern in der inhaltlichen Arbeit) meistens um Längen voraus und selbst in der Benutzung der Datenbank könnt Ihr von ihnen lernen.</w:t>
      </w:r>
    </w:p>
    <w:p w:rsidR="0043199C" w:rsidRDefault="0043199C" w:rsidP="00E04AB0">
      <w:r>
        <w:t>Wir haben als erfahrene Access-Nutzer ganz tolle Tricks und Tastenkürzel</w:t>
      </w:r>
      <w:r>
        <w:rPr>
          <w:rStyle w:val="Funotenzeichen"/>
        </w:rPr>
        <w:footnoteReference w:id="4"/>
      </w:r>
      <w:r>
        <w:t xml:space="preserve"> drauf, welche uns die</w:t>
      </w:r>
      <w:r w:rsidR="00F316E6">
        <w:t xml:space="preserve"> Arbeit erleichtern. Aber Anwender arbeiten ganz anders, sie haben ja auch Besseres zu tun, als sich den ganzen Tag mit Access zu beschäftigen.</w:t>
      </w:r>
    </w:p>
    <w:p w:rsidR="00F316E6" w:rsidRDefault="00F316E6" w:rsidP="00E04AB0">
      <w:r>
        <w:t xml:space="preserve">Also müssen wir da ganz banal lernen, uns auf deren Bedürfnisse einzulassen. Selbst in Schulungen vom Typ Lehrveranstaltung </w:t>
      </w:r>
      <w:r w:rsidR="00C44E2F">
        <w:t>lerne</w:t>
      </w:r>
      <w:r>
        <w:t xml:space="preserve"> ich</w:t>
      </w:r>
      <w:r w:rsidR="004E2845">
        <w:t xml:space="preserve"> etwas</w:t>
      </w:r>
      <w:r>
        <w:t>,</w:t>
      </w:r>
      <w:r w:rsidR="004E2845">
        <w:t xml:space="preserve"> nämlich</w:t>
      </w:r>
      <w:r>
        <w:t xml:space="preserve"> mit welchen Themen ich Anwender überfordere, </w:t>
      </w:r>
      <w:r w:rsidR="00A67FCF">
        <w:t>welche Fragen sie stellen</w:t>
      </w:r>
      <w:r>
        <w:t xml:space="preserve"> und wo ihre eigentlichen Probleme liegen. Das fördert meine </w:t>
      </w:r>
      <w:r w:rsidR="004E2845">
        <w:t>Bescheidenheit</w:t>
      </w:r>
      <w:r>
        <w:t>, wenn ich überlege, wie ich eine Schulung konzipiere oder eine Datenbank-Oberfläche organisiere.</w:t>
      </w:r>
      <w:r w:rsidR="00C44E2F">
        <w:t xml:space="preserve"> Weniger ist da oft mehr.</w:t>
      </w:r>
    </w:p>
    <w:p w:rsidR="00A67FCF" w:rsidRDefault="00BA1DEF" w:rsidP="00E04AB0">
      <w:r>
        <w:t xml:space="preserve">In den meistens sehr sachlich geprägten Office-Schulungen wird gerne ein anderer Aspekt </w:t>
      </w:r>
      <w:r w:rsidR="00F74FBE">
        <w:t>vom</w:t>
      </w:r>
      <w:r>
        <w:t xml:space="preserve"> Schulungs-Stil übersehen, nämlich der Wechsel zur Gefühlsebene. Gefühle? Igitt, was soll das in einer Access-Schulung?</w:t>
      </w:r>
      <w:r w:rsidR="00E40337">
        <w:t xml:space="preserve"> Sie sind unvermeidlich.</w:t>
      </w:r>
    </w:p>
    <w:p w:rsidR="00BA1DEF" w:rsidRDefault="00A547E0" w:rsidP="00E04AB0">
      <w:r>
        <w:rPr>
          <w:noProof/>
          <w:lang w:eastAsia="de-DE"/>
        </w:rPr>
        <mc:AlternateContent>
          <mc:Choice Requires="wps">
            <w:drawing>
              <wp:anchor distT="0" distB="0" distL="114300" distR="114300" simplePos="0" relativeHeight="251650560" behindDoc="0" locked="0" layoutInCell="1" allowOverlap="1" wp14:anchorId="5AC1A30C" wp14:editId="5198F7F2">
                <wp:simplePos x="0" y="0"/>
                <wp:positionH relativeFrom="column">
                  <wp:posOffset>2952453</wp:posOffset>
                </wp:positionH>
                <wp:positionV relativeFrom="paragraph">
                  <wp:posOffset>54561</wp:posOffset>
                </wp:positionV>
                <wp:extent cx="3108960" cy="1828800"/>
                <wp:effectExtent l="57150" t="38100" r="72390" b="100330"/>
                <wp:wrapSquare wrapText="bothSides"/>
                <wp:docPr id="24" name="Textfeld 24"/>
                <wp:cNvGraphicFramePr/>
                <a:graphic xmlns:a="http://schemas.openxmlformats.org/drawingml/2006/main">
                  <a:graphicData uri="http://schemas.microsoft.com/office/word/2010/wordprocessingShape">
                    <wps:wsp>
                      <wps:cNvSpPr txBox="1"/>
                      <wps:spPr>
                        <a:xfrm>
                          <a:off x="0" y="0"/>
                          <a:ext cx="3108960" cy="1828800"/>
                        </a:xfrm>
                        <a:prstGeom prst="rect">
                          <a:avLst/>
                        </a:prstGeom>
                        <a:ln/>
                      </wps:spPr>
                      <wps:style>
                        <a:lnRef idx="1">
                          <a:schemeClr val="accent5"/>
                        </a:lnRef>
                        <a:fillRef idx="2">
                          <a:schemeClr val="accent5"/>
                        </a:fillRef>
                        <a:effectRef idx="1">
                          <a:schemeClr val="accent5"/>
                        </a:effectRef>
                        <a:fontRef idx="minor">
                          <a:schemeClr val="dk1"/>
                        </a:fontRef>
                      </wps:style>
                      <wps:txbx>
                        <w:txbxContent>
                          <w:p w:rsidR="00BA1DEF" w:rsidRPr="003263B0" w:rsidRDefault="00BA1DEF" w:rsidP="00BA1DEF">
                            <w:pPr>
                              <w:jc w:val="center"/>
                              <w:rPr>
                                <w:b/>
                              </w:rPr>
                            </w:pPr>
                            <w:r>
                              <w:rPr>
                                <w:b/>
                              </w:rPr>
                              <w:t>Vier Ohren</w:t>
                            </w:r>
                          </w:p>
                          <w:p w:rsidR="00E40337" w:rsidRDefault="00BA1DEF" w:rsidP="00BA1DEF">
                            <w:pPr>
                              <w:spacing w:after="0"/>
                              <w:rPr>
                                <w:sz w:val="18"/>
                                <w:szCs w:val="18"/>
                              </w:rPr>
                            </w:pPr>
                            <w:r>
                              <w:rPr>
                                <w:sz w:val="18"/>
                                <w:szCs w:val="18"/>
                              </w:rPr>
                              <w:t xml:space="preserve">Der Kommunikationswissenschaftler </w:t>
                            </w:r>
                            <w:r w:rsidR="00E40337">
                              <w:rPr>
                                <w:sz w:val="18"/>
                                <w:szCs w:val="18"/>
                              </w:rPr>
                              <w:t xml:space="preserve">und Psychologe </w:t>
                            </w:r>
                            <w:r>
                              <w:rPr>
                                <w:sz w:val="18"/>
                                <w:szCs w:val="18"/>
                              </w:rPr>
                              <w:t>Friedemann Schulz von Thun</w:t>
                            </w:r>
                            <w:r w:rsidR="00E40337">
                              <w:rPr>
                                <w:sz w:val="18"/>
                                <w:szCs w:val="18"/>
                              </w:rPr>
                              <w:t xml:space="preserve"> erläutert die verschiedenen Ebenen von Nachrichten an einem Vier-Seiten-Modell. Dabei sendet der Sprecher (also beispielsweise wir als Trainer) Nachrichten auf vier Ebenen: Sachebene, Selbstoffenbarung, Beziehungsebene und Appell. Auch der Empfänger der Nachricht (z.B. der Teilnehmer) hört diese vier Ebenen, daher wird das Modell oft als Vier-Ohren-Modell bezeichnet.</w:t>
                            </w:r>
                          </w:p>
                          <w:p w:rsidR="00E40337" w:rsidRPr="003263B0" w:rsidRDefault="00E40337" w:rsidP="00BA1DEF">
                            <w:pPr>
                              <w:spacing w:after="0"/>
                              <w:rPr>
                                <w:sz w:val="18"/>
                                <w:szCs w:val="18"/>
                              </w:rPr>
                            </w:pPr>
                            <w:r>
                              <w:rPr>
                                <w:sz w:val="18"/>
                                <w:szCs w:val="18"/>
                              </w:rPr>
                              <w:t xml:space="preserve">Der Satz "Damit ist diese Schulung beendet" kann also interpretiert werden als "Es ist 16 Uhr" (Sachebene), "Ich </w:t>
                            </w:r>
                            <w:r w:rsidR="00F74FBE">
                              <w:rPr>
                                <w:sz w:val="18"/>
                                <w:szCs w:val="18"/>
                              </w:rPr>
                              <w:t>möchte Schluss machen</w:t>
                            </w:r>
                            <w:r>
                              <w:rPr>
                                <w:sz w:val="18"/>
                                <w:szCs w:val="18"/>
                              </w:rPr>
                              <w:t>" (Selbstoffenbarung), "Wir werden uns so schnell nicht wiedersehen" (Beziehungsebene) oder "Gehen Sie jetzt bitte nach Hause" (Appell).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AC1A30C" id="Textfeld 24" o:spid="_x0000_s1027" type="#_x0000_t202" style="position:absolute;left:0;text-align:left;margin-left:232.5pt;margin-top:4.3pt;width:244.8pt;height:2in;z-index:251650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" fillcolor="#a5d5e2 [1624]" strokecolor="#40a7c2 [3048]">
                <v:fill color2="#e4f2f6 [504]" rotate="t" angle="180" colors="0 #9eeaff;22938f #bbefff;1 #e4f9ff" focus="100%" type="gradient"/>
                <v:shadow on="t" color="black" opacity="24903f" origin=",.5" offset="0,.55556mm"/>
                <v:textbox style="mso-fit-shape-to-text:t">
                  <w:txbxContent>
                    <w:p w:rsidR="00BA1DEF" w:rsidRPr="003263B0" w:rsidRDefault="00BA1DEF" w:rsidP="00BA1DEF">
                      <w:pPr>
                        <w:jc w:val="center"/>
                        <w:rPr>
                          <w:b/>
                        </w:rPr>
                      </w:pPr>
                      <w:r>
                        <w:rPr>
                          <w:b/>
                        </w:rPr>
                        <w:t>Vier Ohren</w:t>
                      </w:r>
                    </w:p>
                    <w:p w:rsidR="00E40337" w:rsidRDefault="00BA1DEF" w:rsidP="00BA1DEF">
                      <w:pPr>
                        <w:spacing w:after="0"/>
                        <w:rPr>
                          <w:sz w:val="18"/>
                          <w:szCs w:val="18"/>
                        </w:rPr>
                      </w:pPr>
                      <w:r>
                        <w:rPr>
                          <w:sz w:val="18"/>
                          <w:szCs w:val="18"/>
                        </w:rPr>
                        <w:t xml:space="preserve">Der Kommunikationswissenschaftler </w:t>
                      </w:r>
                      <w:r w:rsidR="00E40337">
                        <w:rPr>
                          <w:sz w:val="18"/>
                          <w:szCs w:val="18"/>
                        </w:rPr>
                        <w:t xml:space="preserve">und Psychologe </w:t>
                      </w:r>
                      <w:r>
                        <w:rPr>
                          <w:sz w:val="18"/>
                          <w:szCs w:val="18"/>
                        </w:rPr>
                        <w:t>Friedemann Schulz von Thun</w:t>
                      </w:r>
                      <w:r w:rsidR="00E40337">
                        <w:rPr>
                          <w:sz w:val="18"/>
                          <w:szCs w:val="18"/>
                        </w:rPr>
                        <w:t xml:space="preserve"> erläutert die verschiedenen Ebenen von Nachrichten an einem Vier-Seiten-Modell. Dabei sendet der Sprecher (also beispielsweise wir als Trainer) Nachrichten auf vier Ebenen: Sachebene, Selbstoffenbarung, Beziehungsebene und Appell. Auch der Empfänger der Nachricht (z.B. der Teilnehmer) hört diese vier Ebenen, daher wird das Modell oft als Vier-Ohren-Modell bezeichnet.</w:t>
                      </w:r>
                    </w:p>
                    <w:p w:rsidR="00E40337" w:rsidRPr="003263B0" w:rsidRDefault="00E40337" w:rsidP="00BA1DEF">
                      <w:pPr>
                        <w:spacing w:after="0"/>
                        <w:rPr>
                          <w:sz w:val="18"/>
                          <w:szCs w:val="18"/>
                        </w:rPr>
                      </w:pPr>
                      <w:r>
                        <w:rPr>
                          <w:sz w:val="18"/>
                          <w:szCs w:val="18"/>
                        </w:rPr>
                        <w:t xml:space="preserve">Der Satz "Damit ist diese Schulung beendet" kann also interpretiert werden als "Es ist 16 Uhr" (Sachebene), "Ich </w:t>
                      </w:r>
                      <w:r w:rsidR="00F74FBE">
                        <w:rPr>
                          <w:sz w:val="18"/>
                          <w:szCs w:val="18"/>
                        </w:rPr>
                        <w:t>möchte Schluss machen</w:t>
                      </w:r>
                      <w:r>
                        <w:rPr>
                          <w:sz w:val="18"/>
                          <w:szCs w:val="18"/>
                        </w:rPr>
                        <w:t>" (Selbstoffenbarung), "Wir werden uns so schnell nicht wiedersehen" (Beziehungsebene) oder "Gehen Sie jetzt bitte nach Hause" (Appell).</w:t>
                      </w:r>
                    </w:p>
                  </w:txbxContent>
                </v:textbox>
                <w10:wrap type="square"/>
              </v:shape>
            </w:pict>
          </mc:Fallback>
        </mc:AlternateContent>
      </w:r>
      <w:r w:rsidR="004E2845">
        <w:t>Auch scheinbar sachliche Aussagen oder Fragen enthalten mehrere Ebenen, bei denen Gefühle transportiert werden. Das 4-Seiten-Modell</w:t>
      </w:r>
      <w:r w:rsidR="004B63AD">
        <w:t xml:space="preserve"> von Friedemann Schulz von Thun</w:t>
      </w:r>
      <w:r w:rsidR="004E2845">
        <w:t xml:space="preserve"> </w:t>
      </w:r>
      <w:r w:rsidR="00BD4120">
        <w:t>zeigt, welche weiteren Inhalte enthalten sein können.</w:t>
      </w:r>
    </w:p>
    <w:p w:rsidR="00BD4120" w:rsidRDefault="00BD4120" w:rsidP="00E04AB0">
      <w:r>
        <w:t xml:space="preserve">Daher ist es wichtig, darauf zu achten, dass Ihr auch die Gefühlswelt der Teilnehmer ausreichend mitbekommt. Da reicht manchmal schon das aufmerksame Zuhören bei einer Frage an die Teilnehmer ("Sollen wir das Thema von gestern noch mal kurz wiederholen?") oder das Ansprechen eigener Eindrücke ("Ich habe den Eindruck, dass ich das zu schnell erklärt habe, soll ich es noch einmal </w:t>
      </w:r>
      <w:r w:rsidR="004B63AD">
        <w:t>zeigen</w:t>
      </w:r>
      <w:r>
        <w:t>?").</w:t>
      </w:r>
    </w:p>
    <w:p w:rsidR="00F74FBE" w:rsidRDefault="00F74FBE" w:rsidP="00E04AB0">
      <w:r>
        <w:t>Es zählt nicht nur, was Ihr verbal vermittelt, sondern ebenso die nonverbalen Informationen. Das beginnt beim selbstbewussten Beginn der Schulung mit einer deutlichen Begrüßung und endet bei einer eindeutigen Vorgabe, wann Schluss ist. Ihr seid diejenigen, welche bei einer Frontal-Schulung den äußeren Rahmen (wann sind Pausen, was tun wir als Nächstes, wer darf reden, welche Antworten sind richtig) vorgeben und das wird von Euch auch erwartet. Wenn Ihr diese Erwartung nicht erfüllt, verliert Ihr Eure Führungsrolle.</w:t>
      </w:r>
    </w:p>
    <w:p w:rsidR="00F74FBE" w:rsidRDefault="00F74FBE" w:rsidP="00E04AB0">
      <w:r>
        <w:t>Zusätzlich gibt es aber Fehler in der Körpersprache, die vom Inhalt ablenken oder Euer selbstbewusstes Auftreten untergraben. Die klassischen</w:t>
      </w:r>
      <w:r w:rsidR="00C03153">
        <w:t xml:space="preserve"> Do's und Dont's sind:</w:t>
      </w:r>
    </w:p>
    <w:tbl>
      <w:tblPr>
        <w:tblStyle w:val="Listentabelle3Akzent3"/>
        <w:tblW w:w="0" w:type="auto"/>
        <w:tblInd w:w="113" w:type="dxa"/>
        <w:tblLook w:val="04A0" w:firstRow="1" w:lastRow="0" w:firstColumn="1" w:lastColumn="0" w:noHBand="0" w:noVBand="1"/>
      </w:tblPr>
      <w:tblGrid>
        <w:gridCol w:w="4588"/>
        <w:gridCol w:w="4587"/>
      </w:tblGrid>
      <w:tr w:rsidR="00F74FBE" w:rsidTr="004B3E1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606" w:type="dxa"/>
            <w:shd w:val="clear" w:color="auto" w:fill="C0504D" w:themeFill="accent2"/>
          </w:tcPr>
          <w:p w:rsidR="00F74FBE" w:rsidRDefault="00F74FBE" w:rsidP="00E04AB0">
            <w:r>
              <w:t>Don't</w:t>
            </w:r>
          </w:p>
        </w:tc>
        <w:tc>
          <w:tcPr>
            <w:tcW w:w="4606" w:type="dxa"/>
          </w:tcPr>
          <w:p w:rsidR="00F74FBE" w:rsidRDefault="00F74FBE" w:rsidP="00E04AB0">
            <w:pPr>
              <w:cnfStyle w:val="100000000000" w:firstRow="1" w:lastRow="0" w:firstColumn="0" w:lastColumn="0" w:oddVBand="0" w:evenVBand="0" w:oddHBand="0" w:evenHBand="0" w:firstRowFirstColumn="0" w:firstRowLastColumn="0" w:lastRowFirstColumn="0" w:lastRowLastColumn="0"/>
            </w:pPr>
            <w:r>
              <w:t>Do</w:t>
            </w:r>
          </w:p>
        </w:tc>
      </w:tr>
      <w:tr w:rsidR="00F74FBE" w:rsidTr="004B3E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tcPr>
          <w:p w:rsidR="00F74FBE" w:rsidRPr="00F74FBE" w:rsidRDefault="00F74FBE" w:rsidP="00E04AB0">
            <w:pPr>
              <w:rPr>
                <w:b w:val="0"/>
              </w:rPr>
            </w:pPr>
            <w:r w:rsidRPr="00F74FBE">
              <w:rPr>
                <w:b w:val="0"/>
              </w:rPr>
              <w:t>Auf den Boden gucken</w:t>
            </w:r>
          </w:p>
        </w:tc>
        <w:tc>
          <w:tcPr>
            <w:tcW w:w="4606" w:type="dxa"/>
          </w:tcPr>
          <w:p w:rsidR="00F74FBE" w:rsidRDefault="00F74FBE" w:rsidP="00E04AB0">
            <w:pPr>
              <w:cnfStyle w:val="000000100000" w:firstRow="0" w:lastRow="0" w:firstColumn="0" w:lastColumn="0" w:oddVBand="0" w:evenVBand="0" w:oddHBand="1" w:evenHBand="0" w:firstRowFirstColumn="0" w:firstRowLastColumn="0" w:lastRowFirstColumn="0" w:lastRowLastColumn="0"/>
            </w:pPr>
            <w:r>
              <w:t>M-Blick in's Publikum</w:t>
            </w:r>
          </w:p>
        </w:tc>
      </w:tr>
      <w:tr w:rsidR="00F74FBE" w:rsidTr="004B3E1E">
        <w:tc>
          <w:tcPr>
            <w:cnfStyle w:val="001000000000" w:firstRow="0" w:lastRow="0" w:firstColumn="1" w:lastColumn="0" w:oddVBand="0" w:evenVBand="0" w:oddHBand="0" w:evenHBand="0" w:firstRowFirstColumn="0" w:firstRowLastColumn="0" w:lastRowFirstColumn="0" w:lastRowLastColumn="0"/>
            <w:tcW w:w="4606" w:type="dxa"/>
          </w:tcPr>
          <w:p w:rsidR="00F74FBE" w:rsidRPr="00F74FBE" w:rsidRDefault="00F74FBE" w:rsidP="00E04AB0">
            <w:pPr>
              <w:rPr>
                <w:b w:val="0"/>
              </w:rPr>
            </w:pPr>
            <w:r w:rsidRPr="00F74FBE">
              <w:rPr>
                <w:b w:val="0"/>
              </w:rPr>
              <w:t>Hände in den Taschen</w:t>
            </w:r>
          </w:p>
        </w:tc>
        <w:tc>
          <w:tcPr>
            <w:tcW w:w="4606" w:type="dxa"/>
          </w:tcPr>
          <w:p w:rsidR="00F74FBE" w:rsidRDefault="00F74FBE" w:rsidP="00E04AB0">
            <w:pPr>
              <w:cnfStyle w:val="000000000000" w:firstRow="0" w:lastRow="0" w:firstColumn="0" w:lastColumn="0" w:oddVBand="0" w:evenVBand="0" w:oddHBand="0" w:evenHBand="0" w:firstRowFirstColumn="0" w:firstRowLastColumn="0" w:lastRowFirstColumn="0" w:lastRowLastColumn="0"/>
            </w:pPr>
            <w:r>
              <w:t>Hände vor dem Körper halten</w:t>
            </w:r>
          </w:p>
        </w:tc>
      </w:tr>
      <w:tr w:rsidR="00F74FBE" w:rsidTr="004B3E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tcPr>
          <w:p w:rsidR="00F74FBE" w:rsidRPr="00F74FBE" w:rsidRDefault="00F74FBE" w:rsidP="00E04AB0">
            <w:pPr>
              <w:rPr>
                <w:b w:val="0"/>
              </w:rPr>
            </w:pPr>
            <w:r w:rsidRPr="00F74FBE">
              <w:rPr>
                <w:b w:val="0"/>
              </w:rPr>
              <w:lastRenderedPageBreak/>
              <w:t>Unpassende Kleidung</w:t>
            </w:r>
          </w:p>
        </w:tc>
        <w:tc>
          <w:tcPr>
            <w:tcW w:w="4606" w:type="dxa"/>
          </w:tcPr>
          <w:p w:rsidR="00F74FBE" w:rsidRDefault="00F74FBE" w:rsidP="00E04AB0">
            <w:pPr>
              <w:cnfStyle w:val="000000100000" w:firstRow="0" w:lastRow="0" w:firstColumn="0" w:lastColumn="0" w:oddVBand="0" w:evenVBand="0" w:oddHBand="1" w:evenHBand="0" w:firstRowFirstColumn="0" w:firstRowLastColumn="0" w:lastRowFirstColumn="0" w:lastRowLastColumn="0"/>
            </w:pPr>
            <w:r>
              <w:t>Angemessene Kleidung</w:t>
            </w:r>
          </w:p>
        </w:tc>
      </w:tr>
      <w:tr w:rsidR="00F74FBE" w:rsidTr="004B3E1E">
        <w:tc>
          <w:tcPr>
            <w:cnfStyle w:val="001000000000" w:firstRow="0" w:lastRow="0" w:firstColumn="1" w:lastColumn="0" w:oddVBand="0" w:evenVBand="0" w:oddHBand="0" w:evenHBand="0" w:firstRowFirstColumn="0" w:firstRowLastColumn="0" w:lastRowFirstColumn="0" w:lastRowLastColumn="0"/>
            <w:tcW w:w="4606" w:type="dxa"/>
          </w:tcPr>
          <w:p w:rsidR="00F74FBE" w:rsidRPr="00F74FBE" w:rsidRDefault="00F74FBE" w:rsidP="00E04AB0">
            <w:pPr>
              <w:rPr>
                <w:b w:val="0"/>
              </w:rPr>
            </w:pPr>
            <w:r w:rsidRPr="00F74FBE">
              <w:rPr>
                <w:b w:val="0"/>
              </w:rPr>
              <w:t>Mit dem Rücken zum Publikum</w:t>
            </w:r>
          </w:p>
        </w:tc>
        <w:tc>
          <w:tcPr>
            <w:tcW w:w="4606" w:type="dxa"/>
          </w:tcPr>
          <w:p w:rsidR="00F74FBE" w:rsidRDefault="00F74FBE" w:rsidP="00E04AB0">
            <w:pPr>
              <w:cnfStyle w:val="000000000000" w:firstRow="0" w:lastRow="0" w:firstColumn="0" w:lastColumn="0" w:oddVBand="0" w:evenVBand="0" w:oddHBand="0" w:evenHBand="0" w:firstRowFirstColumn="0" w:firstRowLastColumn="0" w:lastRowFirstColumn="0" w:lastRowLastColumn="0"/>
            </w:pPr>
            <w:r>
              <w:t>Zum Publikum wenden</w:t>
            </w:r>
          </w:p>
        </w:tc>
      </w:tr>
      <w:tr w:rsidR="00F74FBE" w:rsidTr="004B3E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06" w:type="dxa"/>
          </w:tcPr>
          <w:p w:rsidR="00F74FBE" w:rsidRPr="00F74FBE" w:rsidRDefault="00F74FBE" w:rsidP="00E04AB0">
            <w:pPr>
              <w:rPr>
                <w:b w:val="0"/>
              </w:rPr>
            </w:pPr>
            <w:r>
              <w:rPr>
                <w:b w:val="0"/>
              </w:rPr>
              <w:t>Sitzen (z.B. hinter aufgeklapptem Laptop)</w:t>
            </w:r>
          </w:p>
        </w:tc>
        <w:tc>
          <w:tcPr>
            <w:tcW w:w="4606" w:type="dxa"/>
          </w:tcPr>
          <w:p w:rsidR="00F74FBE" w:rsidRDefault="00F74FBE" w:rsidP="00E04AB0">
            <w:pPr>
              <w:cnfStyle w:val="000000100000" w:firstRow="0" w:lastRow="0" w:firstColumn="0" w:lastColumn="0" w:oddVBand="0" w:evenVBand="0" w:oddHBand="1" w:evenHBand="0" w:firstRowFirstColumn="0" w:firstRowLastColumn="0" w:lastRowFirstColumn="0" w:lastRowLastColumn="0"/>
            </w:pPr>
            <w:r>
              <w:t>Stehen (Laptop notfalls auf niedrigem Stehpult)</w:t>
            </w:r>
          </w:p>
        </w:tc>
      </w:tr>
      <w:tr w:rsidR="00101DAA" w:rsidTr="004B3E1E">
        <w:tc>
          <w:tcPr>
            <w:cnfStyle w:val="001000000000" w:firstRow="0" w:lastRow="0" w:firstColumn="1" w:lastColumn="0" w:oddVBand="0" w:evenVBand="0" w:oddHBand="0" w:evenHBand="0" w:firstRowFirstColumn="0" w:firstRowLastColumn="0" w:lastRowFirstColumn="0" w:lastRowLastColumn="0"/>
            <w:tcW w:w="4606" w:type="dxa"/>
          </w:tcPr>
          <w:p w:rsidR="00101DAA" w:rsidRPr="00101DAA" w:rsidRDefault="00101DAA" w:rsidP="00E04AB0">
            <w:pPr>
              <w:rPr>
                <w:b w:val="0"/>
              </w:rPr>
            </w:pPr>
            <w:r>
              <w:rPr>
                <w:b w:val="0"/>
              </w:rPr>
              <w:t>Schlechte Laune</w:t>
            </w:r>
          </w:p>
        </w:tc>
        <w:tc>
          <w:tcPr>
            <w:tcW w:w="4606" w:type="dxa"/>
          </w:tcPr>
          <w:p w:rsidR="00101DAA" w:rsidRDefault="00101DAA" w:rsidP="00E04AB0">
            <w:pPr>
              <w:cnfStyle w:val="000000000000" w:firstRow="0" w:lastRow="0" w:firstColumn="0" w:lastColumn="0" w:oddVBand="0" w:evenVBand="0" w:oddHBand="0" w:evenHBand="0" w:firstRowFirstColumn="0" w:firstRowLastColumn="0" w:lastRowFirstColumn="0" w:lastRowLastColumn="0"/>
            </w:pPr>
            <w:r>
              <w:t xml:space="preserve">Lächeln </w:t>
            </w:r>
            <w:r>
              <w:sym w:font="Wingdings" w:char="F04A"/>
            </w:r>
          </w:p>
        </w:tc>
      </w:tr>
    </w:tbl>
    <w:p w:rsidR="00F74FBE" w:rsidRDefault="004B3E1E" w:rsidP="007671CA">
      <w:pPr>
        <w:spacing w:before="120"/>
      </w:pPr>
      <w:r>
        <w:rPr>
          <w:noProof/>
          <w:lang w:eastAsia="de-DE"/>
        </w:rPr>
        <w:drawing>
          <wp:anchor distT="0" distB="0" distL="114300" distR="114300" simplePos="0" relativeHeight="251651584" behindDoc="0" locked="0" layoutInCell="1" allowOverlap="1">
            <wp:simplePos x="0" y="0"/>
            <wp:positionH relativeFrom="column">
              <wp:posOffset>3201670</wp:posOffset>
            </wp:positionH>
            <wp:positionV relativeFrom="paragraph">
              <wp:posOffset>398145</wp:posOffset>
            </wp:positionV>
            <wp:extent cx="2804160" cy="1804035"/>
            <wp:effectExtent l="19050" t="19050" r="15240" b="24765"/>
            <wp:wrapSquare wrapText="bothSides"/>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AEK17_P1100484b.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04160" cy="1804035"/>
                    </a:xfrm>
                    <a:prstGeom prst="rect">
                      <a:avLst/>
                    </a:prstGeom>
                    <a:ln>
                      <a:solidFill>
                        <a:schemeClr val="bg1">
                          <a:lumMod val="50000"/>
                        </a:schemeClr>
                      </a:solidFill>
                    </a:ln>
                    <a:effectLst/>
                  </pic:spPr>
                </pic:pic>
              </a:graphicData>
            </a:graphic>
          </wp:anchor>
        </w:drawing>
      </w:r>
      <w:r w:rsidR="00C03153">
        <w:t>Manche dieser Vorgaben unterstützen sich gegenseitig. Wer beispielsweise mit den Händen angewinkelt vor dem Körper steht, redet wegen des Stehens lauter und bewegt auch seine Hände automatisch lebendiger. Durch die Gesten wird das Gesagte optisch verstärkt und dabei auch die Stimme passender moduliert.</w:t>
      </w:r>
    </w:p>
    <w:p w:rsidR="00F74FBE" w:rsidRDefault="00C03153" w:rsidP="00E04AB0">
      <w:r>
        <w:t>Wer jedoch sitzend hinter einem Monitor redet, klemmt nicht nur sein Zwerchfell ein, was die Atmung verschlechtert und die Stimme zu leise werden lässt. Er macht sich außerdem auch noch durch den Bildschirm unsichtbar und neigt dazu, in die Tastatur zu sprechen statt zum Publikum.</w:t>
      </w:r>
    </w:p>
    <w:p w:rsidR="00F74FBE" w:rsidRDefault="005A241C" w:rsidP="00E04AB0">
      <w:r>
        <w:t>Sehr beliebt ist auch der Blick in die Unterlagen, auf den eigenen Monitor oder gar (mit dem Rücken zum Publikum!) auf das Beamerbild. Natürlich müsst Ihr immer mal kurz prüfen, ob in der Projektion der richtige Inhalt sichtbar ist und nicht irgendein technisches Problem (unscharf, zu dunkel, etc.) stört.</w:t>
      </w:r>
    </w:p>
    <w:p w:rsidR="00A547E0" w:rsidRDefault="004B3E1E" w:rsidP="00E04AB0">
      <w:r>
        <w:rPr>
          <w:noProof/>
          <w:lang w:eastAsia="de-DE"/>
        </w:rPr>
        <w:drawing>
          <wp:anchor distT="0" distB="0" distL="114300" distR="114300" simplePos="0" relativeHeight="251652608" behindDoc="0" locked="0" layoutInCell="1" allowOverlap="1">
            <wp:simplePos x="0" y="0"/>
            <wp:positionH relativeFrom="column">
              <wp:posOffset>3195017</wp:posOffset>
            </wp:positionH>
            <wp:positionV relativeFrom="paragraph">
              <wp:posOffset>519540</wp:posOffset>
            </wp:positionV>
            <wp:extent cx="2811780" cy="1407795"/>
            <wp:effectExtent l="19050" t="19050" r="26670" b="20955"/>
            <wp:wrapSquare wrapText="bothSides"/>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_Blick.png"/>
                    <pic:cNvPicPr/>
                  </pic:nvPicPr>
                  <pic:blipFill rotWithShape="1">
                    <a:blip r:embed="rId23">
                      <a:extLst>
                        <a:ext uri="{28A0092B-C50C-407E-A947-70E740481C1C}">
                          <a14:useLocalDpi xmlns:a14="http://schemas.microsoft.com/office/drawing/2010/main" val="0"/>
                        </a:ext>
                      </a:extLst>
                    </a:blip>
                    <a:srcRect t="33232"/>
                    <a:stretch/>
                  </pic:blipFill>
                  <pic:spPr bwMode="auto">
                    <a:xfrm>
                      <a:off x="0" y="0"/>
                      <a:ext cx="2811780" cy="1407795"/>
                    </a:xfrm>
                    <a:prstGeom prst="rect">
                      <a:avLst/>
                    </a:prstGeom>
                    <a:ln>
                      <a:solidFill>
                        <a:schemeClr val="tx1">
                          <a:lumMod val="65000"/>
                          <a:lumOff val="35000"/>
                        </a:schemeClr>
                      </a:solid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A241C">
        <w:t xml:space="preserve">Aber im Wesentlichen geht Euer Blick in's Publikum. Unter 20 Personen könnt Ihr jeder Person einzeln und abwechselnd immer mal kurz in die Augen sehen. </w:t>
      </w:r>
      <w:r w:rsidR="00383FAB">
        <w:t xml:space="preserve">Bei größeren Räumen wie hier auf der AEK wird der so genannte "M-Blick" eingesetzt. </w:t>
      </w:r>
    </w:p>
    <w:p w:rsidR="005A241C" w:rsidRDefault="00383FAB" w:rsidP="00E04AB0">
      <w:r>
        <w:t>Dabei denkt Ihr Euch ein liegendes "M" über den Plätzen und lasst den Blick etwa über den Linien dieses Buchstaben schweifen. An den Eckpunkten schaut Ihr die dort sitzenden Personen ebenfalls kurz an, aber manchmal auch deren Nachbarn</w:t>
      </w:r>
      <w:r w:rsidR="00C80571">
        <w:t>. So fühlen sich nicht Einzelne unangenehm fixiert. Damit</w:t>
      </w:r>
      <w:r>
        <w:t xml:space="preserve"> haben letztendlich alle im Publikum das Gefühl, sie würden mit einbezogen.</w:t>
      </w:r>
    </w:p>
    <w:p w:rsidR="00C44E2F" w:rsidRDefault="00C44E2F" w:rsidP="00C44E2F">
      <w:pPr>
        <w:pStyle w:val="berschrift2"/>
      </w:pPr>
      <w:r>
        <w:t>Präsentation</w:t>
      </w:r>
    </w:p>
    <w:p w:rsidR="00935272" w:rsidRDefault="00C44E2F" w:rsidP="00C44E2F">
      <w:r>
        <w:t xml:space="preserve">Haltet Ihr Schulungen ohne Präsentation? Das ist mittlerweile eher die Ausnahme, </w:t>
      </w:r>
      <w:r w:rsidR="007459D6">
        <w:t xml:space="preserve">denn </w:t>
      </w:r>
      <w:r>
        <w:t>wenigstens die Agenda wird in PowerPoint präsentiert.</w:t>
      </w:r>
      <w:r w:rsidR="004B63AD">
        <w:t xml:space="preserve"> Habt Ihr Euch auch schon mal Gedanken gemacht, </w:t>
      </w:r>
      <w:r w:rsidR="004B63AD" w:rsidRPr="004B63AD">
        <w:rPr>
          <w:i/>
        </w:rPr>
        <w:t>wie</w:t>
      </w:r>
      <w:r w:rsidR="004B63AD">
        <w:t xml:space="preserve"> Ihr präsentiert? </w:t>
      </w:r>
      <w:r w:rsidR="00935272">
        <w:t>Da</w:t>
      </w:r>
      <w:r w:rsidR="003C26A6">
        <w:t>zu</w:t>
      </w:r>
      <w:r w:rsidR="00935272">
        <w:t xml:space="preserve"> gibt es so viel zu sagen, dass es ein</w:t>
      </w:r>
      <w:r w:rsidR="004D3308">
        <w:t>en eigenen Vortrag füllen würde, daher hier nur die wichtigsten Punkte in Kürze.</w:t>
      </w:r>
    </w:p>
    <w:p w:rsidR="00CC071B" w:rsidRDefault="004D3308" w:rsidP="00C44E2F">
      <w:r>
        <w:t xml:space="preserve">Damit beim Einstellen des Beamers oder überhaupt beim Einrichten der Technik nicht schon zu Testzwecken Teile des Vortrags zu sehen sind, würde ich vor der Titelfolie zwei weitere Folien anlegen. </w:t>
      </w:r>
      <w:r w:rsidR="00CC071B">
        <w:t>Vor dem Einschalten des Beamers starte ich die Präsentation also schon im "richtigen" Präsentationsmodus und lasse sie nicht etwa als Entwurf auf dem Bildschirm stehen.</w:t>
      </w:r>
    </w:p>
    <w:p w:rsidR="00CC071B" w:rsidRDefault="009F1D83" w:rsidP="00C44E2F">
      <w:r>
        <w:rPr>
          <w:noProof/>
          <w:lang w:eastAsia="de-DE"/>
        </w:rPr>
        <w:drawing>
          <wp:anchor distT="0" distB="0" distL="114300" distR="114300" simplePos="0" relativeHeight="251660800" behindDoc="0" locked="0" layoutInCell="1" allowOverlap="1">
            <wp:simplePos x="0" y="0"/>
            <wp:positionH relativeFrom="column">
              <wp:posOffset>-224155</wp:posOffset>
            </wp:positionH>
            <wp:positionV relativeFrom="paragraph">
              <wp:posOffset>67310</wp:posOffset>
            </wp:positionV>
            <wp:extent cx="2233930" cy="1255395"/>
            <wp:effectExtent l="19050" t="19050" r="13970" b="20955"/>
            <wp:wrapSquare wrapText="bothSides"/>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estbild.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33930" cy="1255395"/>
                    </a:xfrm>
                    <a:prstGeom prst="rect">
                      <a:avLst/>
                    </a:prstGeom>
                    <a:ln>
                      <a:solidFill>
                        <a:schemeClr val="bg1">
                          <a:lumMod val="50000"/>
                        </a:schemeClr>
                      </a:solidFill>
                    </a:ln>
                    <a:effectLst/>
                  </pic:spPr>
                </pic:pic>
              </a:graphicData>
            </a:graphic>
            <wp14:sizeRelH relativeFrom="margin">
              <wp14:pctWidth>0</wp14:pctWidth>
            </wp14:sizeRelH>
            <wp14:sizeRelV relativeFrom="margin">
              <wp14:pctHeight>0</wp14:pctHeight>
            </wp14:sizeRelV>
          </wp:anchor>
        </w:drawing>
      </w:r>
      <w:r w:rsidR="004D3308">
        <w:t xml:space="preserve">Die erste </w:t>
      </w:r>
      <w:r w:rsidR="00CC071B">
        <w:t xml:space="preserve">Folie </w:t>
      </w:r>
      <w:r w:rsidR="004D3308">
        <w:t>enthält ein "Testbild" wie auf dem nebenstehenden Screenshot</w:t>
      </w:r>
      <w:r w:rsidR="00CC071B">
        <w:t xml:space="preserve">. Dort kommen die vier wichtigsten Farben vor, damit ich prüfen kann, ob der Beamer alle Farben darstellt (das </w:t>
      </w:r>
      <w:r w:rsidR="00CC071B">
        <w:lastRenderedPageBreak/>
        <w:t xml:space="preserve">ist bei heutigem HDMI-Anschluss weniger relevant, war früher aber wegen einzelner Kabel je Farbe wichtig). </w:t>
      </w:r>
    </w:p>
    <w:p w:rsidR="00935272" w:rsidRDefault="00CC071B" w:rsidP="00C44E2F">
      <w:r>
        <w:t>Außerdem zeigt das Testbild leicht wiedererkennbare Elemente in den Ecken des Bildes, damit ich sehe, ob der Beamer auch den vollständigen Inhalt darstellt. Ich bevorzuge Testbilder auf schwarzem Hintergrund, damit es in einem meistens abgedunkelten Raum nicht so aufdringlich ist. Eigentlich sollen die Zuschauer ja sowieso nicht gucken, aber mangels interessanter Alternativen könnt Ihr sicher sein, dass ALLE zusehen, was Ihr gerade macht.</w:t>
      </w:r>
    </w:p>
    <w:p w:rsidR="00935272" w:rsidRDefault="00CC071B" w:rsidP="00C44E2F">
      <w:r>
        <w:t>Das Testbild selber ist bei mir gestalterisch an die jeweilige Präsentation angepasst, aber das ist persönlicher Stil. Nach dem Testbild folgt eine zweite Folie, die ausschließlich schwarz ist. Sobald technisch alles in Ordnung ist, wechsle ich auf diese schwarze Folie und bin bereit für den Vortrag.</w:t>
      </w:r>
      <w:r w:rsidR="008B0BEC">
        <w:t xml:space="preserve"> </w:t>
      </w:r>
      <w:r>
        <w:t>Natürlich kenne ich auch das Tastenkürzel &lt;b&gt; in PowerPoint, so dass der</w:t>
      </w:r>
      <w:r w:rsidR="008B0BEC">
        <w:t xml:space="preserve"> Bildschirm ebenfalls komplett schwarz wird. Aber beim Zurückschalten würde der Vortrag dann mit dem Testbild beginnen, daher mache ich das lieber über eine Folie.</w:t>
      </w:r>
    </w:p>
    <w:p w:rsidR="00C44E2F" w:rsidRDefault="00CC071B" w:rsidP="00C44E2F">
      <w:r>
        <w:t>Bei der Art der Präsentation</w:t>
      </w:r>
      <w:r w:rsidR="004B63AD">
        <w:t xml:space="preserve"> geht es </w:t>
      </w:r>
      <w:r w:rsidR="008B0BEC">
        <w:t>entweder</w:t>
      </w:r>
      <w:r w:rsidR="004B63AD">
        <w:t xml:space="preserve"> um einzelne Folie</w:t>
      </w:r>
      <w:r w:rsidR="008B0BEC">
        <w:t>n oder alle. Beginnen wir mit jeder einzelnen Folie</w:t>
      </w:r>
      <w:r w:rsidR="004B63AD">
        <w:t xml:space="preserve"> und dem, was Ihr währenddessen sagt.</w:t>
      </w:r>
    </w:p>
    <w:p w:rsidR="004B63AD" w:rsidRDefault="00A547E0" w:rsidP="004B63AD">
      <w:pPr>
        <w:pStyle w:val="meineListe"/>
      </w:pPr>
      <w:r>
        <w:rPr>
          <w:noProof/>
          <w:lang w:eastAsia="de-DE"/>
        </w:rPr>
        <w:drawing>
          <wp:anchor distT="0" distB="0" distL="114300" distR="114300" simplePos="0" relativeHeight="251647488" behindDoc="0" locked="0" layoutInCell="1" allowOverlap="1">
            <wp:simplePos x="0" y="0"/>
            <wp:positionH relativeFrom="column">
              <wp:posOffset>2757805</wp:posOffset>
            </wp:positionH>
            <wp:positionV relativeFrom="paragraph">
              <wp:posOffset>438150</wp:posOffset>
            </wp:positionV>
            <wp:extent cx="3239135" cy="1565910"/>
            <wp:effectExtent l="0" t="0" r="0" b="0"/>
            <wp:wrapSquare wrapText="bothSides"/>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teve_jobs_keynote_one_more_thing_620px-618x299.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39135" cy="1565910"/>
                    </a:xfrm>
                    <a:prstGeom prst="rect">
                      <a:avLst/>
                    </a:prstGeom>
                    <a:effectLst/>
                  </pic:spPr>
                </pic:pic>
              </a:graphicData>
            </a:graphic>
            <wp14:sizeRelH relativeFrom="margin">
              <wp14:pctWidth>0</wp14:pctWidth>
            </wp14:sizeRelH>
            <wp14:sizeRelV relativeFrom="margin">
              <wp14:pctHeight>0</wp14:pctHeight>
            </wp14:sizeRelV>
          </wp:anchor>
        </w:drawing>
      </w:r>
      <w:r w:rsidR="004B63AD">
        <w:t xml:space="preserve">Für das Publikum am hilfreichsten ist das </w:t>
      </w:r>
      <w:r w:rsidR="004B63AD" w:rsidRPr="004B63AD">
        <w:rPr>
          <w:rStyle w:val="Wichtig"/>
        </w:rPr>
        <w:t>Echo</w:t>
      </w:r>
      <w:r w:rsidR="004B63AD">
        <w:t>-Prinzip, bei dem alles Gesagte auf der Folie wörtlich oder bildlich wiederholt wird. Da</w:t>
      </w:r>
      <w:r w:rsidR="004804A2">
        <w:t>nn</w:t>
      </w:r>
      <w:r w:rsidR="004B63AD">
        <w:t xml:space="preserve"> muss das Gehirn nicht zwei unterschiedliche Informationen verarbeiten, die auf akustischem oder optischem Weg eintreffen. Das Gesagte wird durch den Folien-Inhalt verstärkt, welcher die Schlüsselwörter wiederholt. </w:t>
      </w:r>
      <w:r w:rsidR="00BF3AE0">
        <w:t>Steve Jobs war einer der berühmtesten Vortragenden mit dieser Technik.</w:t>
      </w:r>
    </w:p>
    <w:p w:rsidR="00BF3AE0" w:rsidRDefault="00BF3AE0" w:rsidP="004B63AD">
      <w:pPr>
        <w:pStyle w:val="meineListe"/>
      </w:pPr>
      <w:r>
        <w:t xml:space="preserve">Weit verbreitet hingegen ist die </w:t>
      </w:r>
      <w:r w:rsidRPr="00BF3AE0">
        <w:rPr>
          <w:rStyle w:val="Wichtig"/>
        </w:rPr>
        <w:t>Reißverschluss</w:t>
      </w:r>
      <w:r>
        <w:t>-Technik, bei welcher abwechselnd Folien-Inhalt eingeblendet und dazu ganz was anderes gesagt wird. Theoretisch sollte es sich wie beim Reißverschluss abwechselnd ergänzen, aber praktisch muss sich das Publikum meistens entscheiden, ob es lieber zuhört oder zuschaut.</w:t>
      </w:r>
    </w:p>
    <w:p w:rsidR="00BF3AE0" w:rsidRDefault="004804A2" w:rsidP="00BF3AE0">
      <w:r>
        <w:t>Im Zusammenhang mit</w:t>
      </w:r>
      <w:r w:rsidR="00AC6857">
        <w:t xml:space="preserve"> alle</w:t>
      </w:r>
      <w:r>
        <w:t>n</w:t>
      </w:r>
      <w:r w:rsidR="00AC6857">
        <w:t xml:space="preserve"> Folien </w:t>
      </w:r>
      <w:r>
        <w:t xml:space="preserve">geht es um </w:t>
      </w:r>
      <w:r w:rsidR="00AC6857">
        <w:t>den Aufbau der Präsentation</w:t>
      </w:r>
      <w:r>
        <w:t xml:space="preserve"> insgesamt</w:t>
      </w:r>
      <w:r w:rsidR="00AC6857">
        <w:t xml:space="preserve">. Wahrscheinlich noch aus der Schule </w:t>
      </w:r>
      <w:r>
        <w:t xml:space="preserve">kennt Ihr </w:t>
      </w:r>
      <w:r w:rsidR="00AC6857">
        <w:t>die beiden Gliederungsprinzipien:</w:t>
      </w:r>
    </w:p>
    <w:p w:rsidR="00AC6857" w:rsidRDefault="00AC6857" w:rsidP="00AC6857">
      <w:pPr>
        <w:pStyle w:val="meineListe"/>
      </w:pPr>
      <w:r w:rsidRPr="00AC6857">
        <w:rPr>
          <w:rStyle w:val="Wichtig"/>
        </w:rPr>
        <w:t>TopDown</w:t>
      </w:r>
      <w:r>
        <w:t xml:space="preserve"> betrachtet das Thema vom Konzept zum Detail.</w:t>
      </w:r>
    </w:p>
    <w:p w:rsidR="00AC6857" w:rsidRDefault="00AC6857" w:rsidP="00AC6857">
      <w:pPr>
        <w:pStyle w:val="meineListe"/>
      </w:pPr>
      <w:r w:rsidRPr="00AC6857">
        <w:rPr>
          <w:rStyle w:val="Wichtig"/>
        </w:rPr>
        <w:t>BottomUp</w:t>
      </w:r>
      <w:r>
        <w:t xml:space="preserve"> führt in der Präsentation vom Beispiel zum Allgemeinen.</w:t>
      </w:r>
    </w:p>
    <w:p w:rsidR="00AC6857" w:rsidRDefault="00AC6857" w:rsidP="00AC6857">
      <w:r>
        <w:t>Je nach Thema oder Vorwissen der Zuschauer müsst Ihr Euch auch in Schulungen für einen der beiden Wege entscheiden. Je komplexer das Thema ist, desto eher ist BottomUp sinnvoll.</w:t>
      </w:r>
    </w:p>
    <w:p w:rsidR="00AC6857" w:rsidRDefault="00E33DA2" w:rsidP="00935272">
      <w:pPr>
        <w:pStyle w:val="berschrift2"/>
      </w:pPr>
      <w:r>
        <w:rPr>
          <w:noProof/>
          <w:lang w:eastAsia="de-DE"/>
        </w:rPr>
        <w:drawing>
          <wp:anchor distT="0" distB="0" distL="114300" distR="114300" simplePos="0" relativeHeight="251655680" behindDoc="1" locked="0" layoutInCell="1" allowOverlap="1">
            <wp:simplePos x="0" y="0"/>
            <wp:positionH relativeFrom="column">
              <wp:posOffset>3049499</wp:posOffset>
            </wp:positionH>
            <wp:positionV relativeFrom="paragraph">
              <wp:posOffset>261747</wp:posOffset>
            </wp:positionV>
            <wp:extent cx="2900045" cy="1543685"/>
            <wp:effectExtent l="190500" t="228600" r="128905" b="285115"/>
            <wp:wrapTight wrapText="bothSides">
              <wp:wrapPolygon edited="0">
                <wp:start x="21247" y="-541"/>
                <wp:lineTo x="5214" y="-4568"/>
                <wp:lineTo x="4893" y="-346"/>
                <wp:lineTo x="-585" y="-1813"/>
                <wp:lineTo x="-1086" y="6669"/>
                <wp:lineTo x="-1024" y="15301"/>
                <wp:lineTo x="-562" y="22426"/>
                <wp:lineTo x="140" y="22614"/>
                <wp:lineTo x="301" y="22388"/>
                <wp:lineTo x="9190" y="22346"/>
                <wp:lineTo x="9331" y="22384"/>
                <wp:lineTo x="21731" y="21398"/>
                <wp:lineTo x="21809" y="-391"/>
                <wp:lineTo x="21247" y="-541"/>
              </wp:wrapPolygon>
            </wp:wrapTight>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ragebogen.png"/>
                    <pic:cNvPicPr/>
                  </pic:nvPicPr>
                  <pic:blipFill>
                    <a:blip r:embed="rId26" cstate="print">
                      <a:extLst>
                        <a:ext uri="{28A0092B-C50C-407E-A947-70E740481C1C}">
                          <a14:useLocalDpi xmlns:a14="http://schemas.microsoft.com/office/drawing/2010/main" val="0"/>
                        </a:ext>
                      </a:extLst>
                    </a:blip>
                    <a:stretch>
                      <a:fillRect/>
                    </a:stretch>
                  </pic:blipFill>
                  <pic:spPr>
                    <a:xfrm rot="21113016">
                      <a:off x="0" y="0"/>
                      <a:ext cx="2900045" cy="1543685"/>
                    </a:xfrm>
                    <a:prstGeom prst="rect">
                      <a:avLst/>
                    </a:prstGeom>
                    <a:effectLst>
                      <a:outerShdw blurRad="50800" dist="38100" dir="8100000" algn="tr"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A21F9D">
        <w:t>Beurteilungsbögen</w:t>
      </w:r>
    </w:p>
    <w:p w:rsidR="00E012BD" w:rsidRDefault="00E33DA2" w:rsidP="00A21F9D">
      <w:r>
        <w:rPr>
          <w:noProof/>
          <w:lang w:eastAsia="de-DE"/>
        </w:rPr>
        <mc:AlternateContent>
          <mc:Choice Requires="wps">
            <w:drawing>
              <wp:anchor distT="0" distB="0" distL="114300" distR="114300" simplePos="0" relativeHeight="251659776" behindDoc="0" locked="0" layoutInCell="1" allowOverlap="1">
                <wp:simplePos x="0" y="0"/>
                <wp:positionH relativeFrom="column">
                  <wp:posOffset>3393440</wp:posOffset>
                </wp:positionH>
                <wp:positionV relativeFrom="paragraph">
                  <wp:posOffset>1003935</wp:posOffset>
                </wp:positionV>
                <wp:extent cx="2355215" cy="643890"/>
                <wp:effectExtent l="0" t="0" r="0" b="3810"/>
                <wp:wrapSquare wrapText="bothSides"/>
                <wp:docPr id="30" name="Textfeld 30"/>
                <wp:cNvGraphicFramePr/>
                <a:graphic xmlns:a="http://schemas.openxmlformats.org/drawingml/2006/main">
                  <a:graphicData uri="http://schemas.microsoft.com/office/word/2010/wordprocessingShape">
                    <wps:wsp>
                      <wps:cNvSpPr txBox="1"/>
                      <wps:spPr>
                        <a:xfrm>
                          <a:off x="0" y="0"/>
                          <a:ext cx="2355215" cy="6438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459D6" w:rsidRDefault="007459D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30" o:spid="_x0000_s1028" type="#_x0000_t202" style="position:absolute;left:0;text-align:left;margin-left:267.2pt;margin-top:79.05pt;width:185.45pt;height:50.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" filled="f" stroked="f" strokeweight=".5pt">
                <v:textbox>
                  <w:txbxContent>
                    <w:p w:rsidR="007459D6" w:rsidRDefault="007459D6"/>
                  </w:txbxContent>
                </v:textbox>
                <w10:wrap type="square"/>
              </v:shape>
            </w:pict>
          </mc:Fallback>
        </mc:AlternateContent>
      </w:r>
      <w:r w:rsidR="00A21F9D">
        <w:t>Am Ende jeder Schulung stehen typischerweise Beurteilungsbögen</w:t>
      </w:r>
      <w:r w:rsidR="007459D6">
        <w:t>, denn "Nachbereitung ist Vorbereitung".</w:t>
      </w:r>
      <w:r w:rsidR="00E012BD">
        <w:t xml:space="preserve"> Meine persönliche Erfahrung ist, dass mein </w:t>
      </w:r>
      <w:r w:rsidR="004804A2">
        <w:t>eigenes Beurteilungsg</w:t>
      </w:r>
      <w:r w:rsidR="00E012BD">
        <w:t>efühl nach einer Schulung oft ganz anders ist als die tatsächliche Bewertung durch die Teilnehmer.</w:t>
      </w:r>
      <w:r w:rsidR="004804A2">
        <w:t xml:space="preserve"> Deswegen sind Beurteilungsbögen wichtig.</w:t>
      </w:r>
    </w:p>
    <w:p w:rsidR="00A21F9D" w:rsidRDefault="00E012BD" w:rsidP="00A21F9D">
      <w:r>
        <w:lastRenderedPageBreak/>
        <w:t xml:space="preserve">Allerdings wird nach den meisten Schulungen </w:t>
      </w:r>
      <w:r w:rsidR="004804A2">
        <w:t xml:space="preserve">zwar </w:t>
      </w:r>
      <w:r w:rsidR="007459D6">
        <w:t>den Fragebög</w:t>
      </w:r>
      <w:r>
        <w:t>en und deren Gestaltung viel Aufmerksamkeit gewidmet</w:t>
      </w:r>
      <w:r w:rsidR="007459D6">
        <w:t xml:space="preserve">, nicht aber </w:t>
      </w:r>
      <w:r w:rsidR="004804A2">
        <w:t xml:space="preserve">offenbar </w:t>
      </w:r>
      <w:r w:rsidR="007459D6">
        <w:t>deren Auswertung.</w:t>
      </w:r>
    </w:p>
    <w:p w:rsidR="007459D6" w:rsidRDefault="007459D6" w:rsidP="00A21F9D">
      <w:r>
        <w:t>Das ist doppelt ungeschickt, denn weder der Dozent selber erfährt, was er verbessern könnte, noch erhält der Veranstalter laufende Rückmeldungen über die Qualität der Schulungen. Da erfolgt bestenfalls eine "Abstimmung mit den Füßen", wenn es anschließend weniger Anmeldungen gibt.</w:t>
      </w:r>
    </w:p>
    <w:p w:rsidR="001C091C" w:rsidRDefault="001C091C" w:rsidP="00A21F9D">
      <w:r>
        <w:t>Die AEK ist da eine rühmliche Ausnahme, da Karl uns Dozenten anschließend (und sehr schnell!) eine Zusammenfassung der Bewertungen zusendet und dabei sogar alle Anmerkungen abtippt.</w:t>
      </w:r>
    </w:p>
    <w:p w:rsidR="007459D6" w:rsidRDefault="001C091C" w:rsidP="00A21F9D">
      <w:r>
        <w:t>Der B</w:t>
      </w:r>
      <w:bookmarkStart w:id="0" w:name="_GoBack"/>
      <w:bookmarkEnd w:id="0"/>
      <w:r>
        <w:t xml:space="preserve">eurteilungsbogen sollte alle Aspekte der Fragen enthalten, also sowohl geschlossene als auch offene Fragen und die Sachebene ebenso wie die Gefühlsebene berücksichtigen. Nach meiner Erfahrung haben sowohl allgemeine Trainingsveranstalter als auch Firmen mit eigenen InHouse-Schulungen </w:t>
      </w:r>
      <w:r w:rsidR="00E012BD">
        <w:t xml:space="preserve">immer </w:t>
      </w:r>
      <w:r w:rsidR="004804A2">
        <w:t>eigene</w:t>
      </w:r>
      <w:r>
        <w:t xml:space="preserve"> Beurteilungsbögen</w:t>
      </w:r>
      <w:r w:rsidR="00E012BD">
        <w:t xml:space="preserve">. Es lohnt sich also kaum, über </w:t>
      </w:r>
      <w:r w:rsidR="004804A2">
        <w:t xml:space="preserve">deren Erstellung </w:t>
      </w:r>
      <w:r w:rsidR="00E012BD">
        <w:t>nachzudenken, wenn Ihr nicht selber im eigenen Namen als Veranstalter auftretet. Aber es lohnt sich nachzufragen, ob Ihr die Auswertung der Beurteilungen erfahren könnt.</w:t>
      </w:r>
    </w:p>
    <w:p w:rsidR="007459D6" w:rsidRDefault="00E012BD" w:rsidP="00A21F9D">
      <w:r>
        <w:t xml:space="preserve">Unabhängig davon schaue ich aber direkt nach Abgabe der Bögen einmal kurz drüber, ob irgendwas auffällig ist, etwa besonders viele gute oder schlechte Bewertungen. Im Sommer steht da gerne drauf, dass es </w:t>
      </w:r>
      <w:r w:rsidR="00591BFE">
        <w:t xml:space="preserve">im Raum </w:t>
      </w:r>
      <w:r>
        <w:t xml:space="preserve">zu heiß war oder </w:t>
      </w:r>
      <w:r w:rsidR="00591BFE">
        <w:t xml:space="preserve">wegen der </w:t>
      </w:r>
      <w:r>
        <w:t xml:space="preserve">Klimaanlage </w:t>
      </w:r>
      <w:r w:rsidR="00591BFE">
        <w:t>zu kühl</w:t>
      </w:r>
      <w:r>
        <w:t>. Wenn es keine schlimmeren Probleme gab, weiß ich dann, dass alles in Ordnung war.</w:t>
      </w:r>
    </w:p>
    <w:p w:rsidR="007459D6" w:rsidRDefault="00F81A36" w:rsidP="00F81A36">
      <w:pPr>
        <w:pStyle w:val="berschrift1"/>
      </w:pPr>
      <w:r>
        <w:t>Fazit</w:t>
      </w:r>
    </w:p>
    <w:p w:rsidR="00F9308E" w:rsidRDefault="004804A2" w:rsidP="00F81A36">
      <w:r>
        <w:t>Zum Abschluss</w:t>
      </w:r>
      <w:r w:rsidR="00F81A36">
        <w:t xml:space="preserve"> einer Schulung, eines Lern-Videos oder eines Webinars gibt es </w:t>
      </w:r>
      <w:r w:rsidR="00D204F1">
        <w:t>oft</w:t>
      </w:r>
      <w:r w:rsidR="00F81A36">
        <w:t xml:space="preserve"> eine zukunftsgerichtete Aufmunterung: "</w:t>
      </w:r>
      <w:r w:rsidR="00994520">
        <w:t xml:space="preserve">Ich wünsche Ihnen viel Erfolg mit diesen ganzen Informationen!" Das möchte ich gerne anders formulieren: "Ich wünsche Euch viel Spaß trotz dieser Informationen!", denn ein Seminar wird nicht deswegen gut, weil Ihr Euch sklavisch an alle Vorschläge hier </w:t>
      </w:r>
      <w:r w:rsidR="00F9308E">
        <w:t>haltet.</w:t>
      </w:r>
    </w:p>
    <w:p w:rsidR="000A3935" w:rsidRDefault="000A3935" w:rsidP="00F81A36">
      <w:r>
        <w:rPr>
          <w:noProof/>
          <w:lang w:eastAsia="de-DE"/>
        </w:rPr>
        <w:drawing>
          <wp:anchor distT="0" distB="0" distL="114300" distR="114300" simplePos="0" relativeHeight="251663872" behindDoc="0" locked="0" layoutInCell="1" allowOverlap="1">
            <wp:simplePos x="0" y="0"/>
            <wp:positionH relativeFrom="column">
              <wp:posOffset>5096980</wp:posOffset>
            </wp:positionH>
            <wp:positionV relativeFrom="paragraph">
              <wp:posOffset>446364</wp:posOffset>
            </wp:positionV>
            <wp:extent cx="914400" cy="914400"/>
            <wp:effectExtent l="19050" t="19050" r="19050" b="19050"/>
            <wp:wrapSquare wrapText="bothSides"/>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g_2003eq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a:ln>
                      <a:solidFill>
                        <a:schemeClr val="bg1">
                          <a:lumMod val="50000"/>
                        </a:schemeClr>
                      </a:solidFill>
                    </a:ln>
                    <a:effectLst/>
                  </pic:spPr>
                </pic:pic>
              </a:graphicData>
            </a:graphic>
          </wp:anchor>
        </w:drawing>
      </w:r>
      <w:r w:rsidR="00994520">
        <w:t>Ihr habt als Trainer dann Erfolg, wenn Ihr Euer Thema beherrscht (selbstverständlich!), wenn die Technik funktioniert (hoffentlich!) und wenn Ihr authentisch rüberkommt.</w:t>
      </w:r>
      <w:r w:rsidR="00F9308E">
        <w:t xml:space="preserve"> Verbiegt Euch nicht, um Vorgaben zu erfüllen, sonde</w:t>
      </w:r>
      <w:r>
        <w:t>rn findet Euren passenden Stil.</w:t>
      </w:r>
    </w:p>
    <w:p w:rsidR="00F81A36" w:rsidRDefault="004804A2" w:rsidP="00F81A36">
      <w:r>
        <w:t>Solltet Ihr feststellen</w:t>
      </w:r>
      <w:r w:rsidR="00F9308E">
        <w:t xml:space="preserve">, dass Ihr Euch da vorne als Trainer überhaupt nicht wohl fühlt, dann macht </w:t>
      </w:r>
      <w:r w:rsidR="000A3935">
        <w:t xml:space="preserve">besser </w:t>
      </w:r>
      <w:r w:rsidR="00F9308E">
        <w:t xml:space="preserve">etwas anderes. Aber </w:t>
      </w:r>
      <w:r w:rsidR="00F9308E" w:rsidRPr="000A3935">
        <w:rPr>
          <w:i/>
        </w:rPr>
        <w:t>wenn</w:t>
      </w:r>
      <w:r w:rsidR="00F9308E">
        <w:t xml:space="preserve"> Ihr es macht, dann macht es so gut wie möglich!</w:t>
      </w:r>
    </w:p>
    <w:p w:rsidR="00F9308E" w:rsidRDefault="00F9308E" w:rsidP="00F9308E">
      <w:pPr>
        <w:jc w:val="right"/>
      </w:pPr>
      <w:r>
        <w:t>Lorenz Hölscher</w:t>
      </w:r>
    </w:p>
    <w:p w:rsidR="004E4BA8" w:rsidRDefault="004E4BA8" w:rsidP="00600F8B">
      <w:pPr>
        <w:jc w:val="left"/>
      </w:pPr>
    </w:p>
    <w:p w:rsidR="00CF5B5D" w:rsidRDefault="00CF5B5D" w:rsidP="00600F8B">
      <w:pPr>
        <w:jc w:val="left"/>
      </w:pPr>
    </w:p>
    <w:p w:rsidR="00163267" w:rsidRDefault="00163267" w:rsidP="00600F8B">
      <w:pPr>
        <w:jc w:val="left"/>
      </w:pPr>
    </w:p>
    <w:p w:rsidR="00CF5B5D" w:rsidRDefault="00CF5B5D" w:rsidP="00600F8B">
      <w:pPr>
        <w:jc w:val="left"/>
      </w:pPr>
    </w:p>
    <w:p w:rsidR="00CF5B5D" w:rsidRDefault="00CF5B5D" w:rsidP="00600F8B">
      <w:pPr>
        <w:jc w:val="left"/>
      </w:pPr>
    </w:p>
    <w:p w:rsidR="00CF5B5D" w:rsidRDefault="00CF5B5D" w:rsidP="00633C69">
      <w:pPr>
        <w:spacing w:after="360"/>
        <w:jc w:val="left"/>
      </w:pPr>
    </w:p>
    <w:p w:rsidR="004E4BA8" w:rsidRPr="00CF5B5D" w:rsidRDefault="004E4BA8" w:rsidP="004E4BA8">
      <w:pPr>
        <w:pStyle w:val="berschrift2"/>
        <w:rPr>
          <w:color w:val="595959" w:themeColor="text1" w:themeTint="A6"/>
          <w:sz w:val="24"/>
          <w:szCs w:val="24"/>
        </w:rPr>
      </w:pPr>
      <w:r w:rsidRPr="00CF5B5D">
        <w:rPr>
          <w:color w:val="595959" w:themeColor="text1" w:themeTint="A6"/>
          <w:sz w:val="24"/>
          <w:szCs w:val="24"/>
        </w:rPr>
        <w:t>Quellen</w:t>
      </w:r>
    </w:p>
    <w:p w:rsidR="004E4BA8" w:rsidRDefault="004E4BA8" w:rsidP="00CF5B5D">
      <w:pPr>
        <w:spacing w:after="0" w:line="240" w:lineRule="auto"/>
        <w:jc w:val="left"/>
        <w:rPr>
          <w:rStyle w:val="Hyperlink"/>
          <w:sz w:val="18"/>
          <w:szCs w:val="18"/>
        </w:rPr>
      </w:pPr>
      <w:r w:rsidRPr="00CF5B5D">
        <w:rPr>
          <w:b/>
          <w:sz w:val="18"/>
          <w:szCs w:val="18"/>
        </w:rPr>
        <w:t>Beispielvideo</w:t>
      </w:r>
      <w:r w:rsidR="00633C69" w:rsidRPr="00633C69">
        <w:rPr>
          <w:sz w:val="18"/>
          <w:szCs w:val="18"/>
        </w:rPr>
        <w:t xml:space="preserve"> (ab Januar</w:t>
      </w:r>
      <w:r w:rsidR="00633C69">
        <w:rPr>
          <w:sz w:val="18"/>
          <w:szCs w:val="18"/>
        </w:rPr>
        <w:t xml:space="preserve"> 2018</w:t>
      </w:r>
      <w:r w:rsidR="00633C69" w:rsidRPr="00633C69">
        <w:rPr>
          <w:sz w:val="18"/>
          <w:szCs w:val="18"/>
        </w:rPr>
        <w:t>)</w:t>
      </w:r>
      <w:r w:rsidRPr="00CF5B5D">
        <w:rPr>
          <w:sz w:val="18"/>
          <w:szCs w:val="18"/>
        </w:rPr>
        <w:t xml:space="preserve">: </w:t>
      </w:r>
      <w:hyperlink r:id="rId28" w:history="1">
        <w:r w:rsidR="00CF5B5D" w:rsidRPr="00855361">
          <w:rPr>
            <w:rStyle w:val="Hyperlink"/>
            <w:sz w:val="18"/>
            <w:szCs w:val="18"/>
          </w:rPr>
          <w:t>https://www.video2brain.com/de/videotraining/access-hilfe-zur-eigenen-datenbank-anzeigen</w:t>
        </w:r>
      </w:hyperlink>
    </w:p>
    <w:p w:rsidR="00633C69" w:rsidRPr="00CF5B5D" w:rsidRDefault="00633C69" w:rsidP="00CF5B5D">
      <w:pPr>
        <w:spacing w:after="0" w:line="240" w:lineRule="auto"/>
        <w:jc w:val="left"/>
        <w:rPr>
          <w:sz w:val="18"/>
          <w:szCs w:val="18"/>
        </w:rPr>
      </w:pPr>
      <w:r w:rsidRPr="00633C69">
        <w:rPr>
          <w:b/>
          <w:sz w:val="18"/>
          <w:szCs w:val="18"/>
        </w:rPr>
        <w:t>AEK-Video</w:t>
      </w:r>
      <w:r>
        <w:rPr>
          <w:sz w:val="18"/>
          <w:szCs w:val="18"/>
        </w:rPr>
        <w:t xml:space="preserve">: </w:t>
      </w:r>
      <w:hyperlink r:id="rId29" w:history="1">
        <w:r w:rsidRPr="00633C69">
          <w:rPr>
            <w:rStyle w:val="Hyperlink"/>
            <w:sz w:val="18"/>
            <w:szCs w:val="18"/>
          </w:rPr>
          <w:t>https://youtu.be/6TMLhQm-TiI</w:t>
        </w:r>
      </w:hyperlink>
    </w:p>
    <w:p w:rsidR="004E4BA8" w:rsidRPr="00CF5B5D" w:rsidRDefault="004E4BA8" w:rsidP="00CF5B5D">
      <w:pPr>
        <w:spacing w:after="0" w:line="240" w:lineRule="auto"/>
        <w:jc w:val="left"/>
        <w:rPr>
          <w:sz w:val="18"/>
          <w:szCs w:val="18"/>
        </w:rPr>
      </w:pPr>
      <w:r w:rsidRPr="00CF5B5D">
        <w:rPr>
          <w:sz w:val="18"/>
          <w:szCs w:val="18"/>
        </w:rPr>
        <w:t xml:space="preserve">Bernd Weidenmann: </w:t>
      </w:r>
      <w:r w:rsidRPr="00CF5B5D">
        <w:rPr>
          <w:rStyle w:val="Wichtig"/>
          <w:sz w:val="18"/>
          <w:szCs w:val="18"/>
        </w:rPr>
        <w:t>Erfolgreiche Kurse und Seminare</w:t>
      </w:r>
      <w:r w:rsidRPr="00CF5B5D">
        <w:rPr>
          <w:sz w:val="18"/>
          <w:szCs w:val="18"/>
        </w:rPr>
        <w:t xml:space="preserve"> (ISBN 3407364962)</w:t>
      </w:r>
    </w:p>
    <w:p w:rsidR="004E4BA8" w:rsidRPr="00CF5B5D" w:rsidRDefault="004E4BA8" w:rsidP="00CF5B5D">
      <w:pPr>
        <w:spacing w:after="0" w:line="240" w:lineRule="auto"/>
        <w:jc w:val="left"/>
        <w:rPr>
          <w:sz w:val="18"/>
          <w:szCs w:val="18"/>
        </w:rPr>
      </w:pPr>
      <w:r w:rsidRPr="00CF5B5D">
        <w:rPr>
          <w:sz w:val="18"/>
          <w:szCs w:val="18"/>
        </w:rPr>
        <w:t xml:space="preserve">Lorenz Hölscher: </w:t>
      </w:r>
      <w:r w:rsidRPr="00CF5B5D">
        <w:rPr>
          <w:b/>
          <w:sz w:val="18"/>
          <w:szCs w:val="18"/>
        </w:rPr>
        <w:t xml:space="preserve">PowerPoint 2016 </w:t>
      </w:r>
      <w:r w:rsidR="00855361">
        <w:rPr>
          <w:b/>
          <w:sz w:val="18"/>
          <w:szCs w:val="18"/>
        </w:rPr>
        <w:t xml:space="preserve">- </w:t>
      </w:r>
      <w:r w:rsidRPr="00CF5B5D">
        <w:rPr>
          <w:b/>
          <w:sz w:val="18"/>
          <w:szCs w:val="18"/>
        </w:rPr>
        <w:t>Schnell zum Ziel</w:t>
      </w:r>
      <w:r w:rsidRPr="00CF5B5D">
        <w:rPr>
          <w:sz w:val="18"/>
          <w:szCs w:val="18"/>
        </w:rPr>
        <w:t xml:space="preserve"> (ISBN 3959820224)</w:t>
      </w:r>
    </w:p>
    <w:p w:rsidR="00CF5B5D" w:rsidRPr="00CF5B5D" w:rsidRDefault="00CF5B5D" w:rsidP="00CF5B5D">
      <w:pPr>
        <w:spacing w:after="0" w:line="240" w:lineRule="auto"/>
        <w:rPr>
          <w:sz w:val="18"/>
          <w:szCs w:val="18"/>
        </w:rPr>
      </w:pPr>
      <w:r w:rsidRPr="00CF5B5D">
        <w:rPr>
          <w:sz w:val="18"/>
          <w:szCs w:val="18"/>
        </w:rPr>
        <w:t>Fotonachweis: pixabay, Alexandra Hrasko, Anne Gard, Uli Staiger, Heike Hofert, Mathieu Thouvenin</w:t>
      </w:r>
    </w:p>
    <w:sectPr w:rsidR="00CF5B5D" w:rsidRPr="00CF5B5D">
      <w:headerReference w:type="default" r:id="rId30"/>
      <w:footerReference w:type="default" r:id="rId3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53CAB" w:rsidRDefault="00F53CAB" w:rsidP="00D3310B">
      <w:pPr>
        <w:spacing w:after="0" w:line="240" w:lineRule="auto"/>
      </w:pPr>
      <w:r>
        <w:separator/>
      </w:r>
    </w:p>
  </w:endnote>
  <w:endnote w:type="continuationSeparator" w:id="0">
    <w:p w:rsidR="00F53CAB" w:rsidRDefault="00F53CAB" w:rsidP="00D331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Gill_Sans-Bold">
    <w:panose1 w:val="020B05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519A" w:rsidRPr="0044519A" w:rsidRDefault="0044519A" w:rsidP="0044519A">
    <w:pPr>
      <w:pStyle w:val="Fuzeile"/>
      <w:pBdr>
        <w:top w:val="single" w:sz="4" w:space="1" w:color="auto"/>
      </w:pBdr>
      <w:tabs>
        <w:tab w:val="clear" w:pos="4536"/>
      </w:tabs>
      <w:rPr>
        <w:sz w:val="20"/>
        <w:szCs w:val="20"/>
      </w:rPr>
    </w:pPr>
    <w:r w:rsidRPr="0044519A">
      <w:rPr>
        <w:sz w:val="20"/>
        <w:szCs w:val="20"/>
      </w:rPr>
      <w:t xml:space="preserve">Stand: </w:t>
    </w:r>
    <w:r w:rsidR="00DD7307">
      <w:rPr>
        <w:noProof/>
        <w:sz w:val="20"/>
        <w:szCs w:val="20"/>
      </w:rPr>
      <w:t>2</w:t>
    </w:r>
    <w:r w:rsidR="00163267">
      <w:rPr>
        <w:noProof/>
        <w:sz w:val="20"/>
        <w:szCs w:val="20"/>
      </w:rPr>
      <w:t>3</w:t>
    </w:r>
    <w:r w:rsidR="00DD7307">
      <w:rPr>
        <w:noProof/>
        <w:sz w:val="20"/>
        <w:szCs w:val="20"/>
      </w:rPr>
      <w:t>.</w:t>
    </w:r>
    <w:r w:rsidR="00163267">
      <w:rPr>
        <w:noProof/>
        <w:sz w:val="20"/>
        <w:szCs w:val="20"/>
      </w:rPr>
      <w:t>1</w:t>
    </w:r>
    <w:r w:rsidR="00DD7307">
      <w:rPr>
        <w:noProof/>
        <w:sz w:val="20"/>
        <w:szCs w:val="20"/>
      </w:rPr>
      <w:t>0.2017</w:t>
    </w:r>
    <w:r w:rsidRPr="0044519A">
      <w:rPr>
        <w:sz w:val="20"/>
        <w:szCs w:val="20"/>
      </w:rPr>
      <w:tab/>
      <w:t xml:space="preserve">Seite </w:t>
    </w:r>
    <w:r w:rsidRPr="0044519A">
      <w:rPr>
        <w:sz w:val="20"/>
        <w:szCs w:val="20"/>
      </w:rPr>
      <w:fldChar w:fldCharType="begin"/>
    </w:r>
    <w:r w:rsidRPr="0044519A">
      <w:rPr>
        <w:sz w:val="20"/>
        <w:szCs w:val="20"/>
      </w:rPr>
      <w:instrText xml:space="preserve"> PAGE  \* Arabic  \* MERGEFORMAT </w:instrText>
    </w:r>
    <w:r w:rsidRPr="0044519A">
      <w:rPr>
        <w:sz w:val="20"/>
        <w:szCs w:val="20"/>
      </w:rPr>
      <w:fldChar w:fldCharType="separate"/>
    </w:r>
    <w:r w:rsidR="00163267">
      <w:rPr>
        <w:noProof/>
        <w:sz w:val="20"/>
        <w:szCs w:val="20"/>
      </w:rPr>
      <w:t>15</w:t>
    </w:r>
    <w:r w:rsidRPr="0044519A">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53CAB" w:rsidRDefault="00F53CAB" w:rsidP="00D3310B">
      <w:pPr>
        <w:spacing w:after="0" w:line="240" w:lineRule="auto"/>
      </w:pPr>
      <w:r>
        <w:separator/>
      </w:r>
    </w:p>
  </w:footnote>
  <w:footnote w:type="continuationSeparator" w:id="0">
    <w:p w:rsidR="00F53CAB" w:rsidRDefault="00F53CAB" w:rsidP="00D3310B">
      <w:pPr>
        <w:spacing w:after="0" w:line="240" w:lineRule="auto"/>
      </w:pPr>
      <w:r>
        <w:continuationSeparator/>
      </w:r>
    </w:p>
  </w:footnote>
  <w:footnote w:id="1">
    <w:p w:rsidR="00AD6547" w:rsidRDefault="00AD6547">
      <w:pPr>
        <w:pStyle w:val="Funotentext"/>
      </w:pPr>
      <w:r>
        <w:rPr>
          <w:rStyle w:val="Funotenzeichen"/>
        </w:rPr>
        <w:footnoteRef/>
      </w:r>
      <w:r>
        <w:t xml:space="preserve"> Der Einfachheit werde ich von Anwendern und Trainern schreiben und sprechen, aber ich meine ebenso die Anwenderinnen und Trainerinnen.</w:t>
      </w:r>
    </w:p>
  </w:footnote>
  <w:footnote w:id="2">
    <w:p w:rsidR="00D540C5" w:rsidRDefault="00D540C5">
      <w:pPr>
        <w:pStyle w:val="Funotentext"/>
      </w:pPr>
      <w:r>
        <w:rPr>
          <w:rStyle w:val="Funotenzeichen"/>
        </w:rPr>
        <w:footnoteRef/>
      </w:r>
      <w:r>
        <w:t xml:space="preserve"> </w:t>
      </w:r>
      <w:r w:rsidR="00D8228D">
        <w:t xml:space="preserve">und </w:t>
      </w:r>
      <w:r>
        <w:t>auch zu einer Verschwesterung mit den Teilnehmerinnen…</w:t>
      </w:r>
    </w:p>
  </w:footnote>
  <w:footnote w:id="3">
    <w:p w:rsidR="001D342F" w:rsidRDefault="001D342F">
      <w:pPr>
        <w:pStyle w:val="Funotentext"/>
      </w:pPr>
      <w:r>
        <w:rPr>
          <w:rStyle w:val="Funotenzeichen"/>
        </w:rPr>
        <w:footnoteRef/>
      </w:r>
      <w:r>
        <w:t xml:space="preserve"> Es lässt sich nicht leugnen, dass der abgebildete Goldfisch nicht wirklich inhaltlich notwendig ist, sondern damit offensichtlich dem Bereich "Unterhaltung" zuzuordnen ist. Dieser Vortrag ist also auch schon Infotainment.</w:t>
      </w:r>
    </w:p>
  </w:footnote>
  <w:footnote w:id="4">
    <w:p w:rsidR="0043199C" w:rsidRDefault="0043199C">
      <w:pPr>
        <w:pStyle w:val="Funotentext"/>
      </w:pPr>
      <w:r>
        <w:rPr>
          <w:rStyle w:val="Funotenzeichen"/>
        </w:rPr>
        <w:footnoteRef/>
      </w:r>
      <w:r>
        <w:t xml:space="preserve"> Wer weiß das Tastenkürzel</w:t>
      </w:r>
      <w:r w:rsidR="007671CA" w:rsidRPr="0043199C">
        <w:rPr>
          <w:vertAlign w:val="superscript"/>
        </w:rPr>
        <w:t>4a</w:t>
      </w:r>
      <w:r>
        <w:t>, um das aktuelle Datum einzufügen? Dessen Nutzung führte auf einer der letzten AEKs zu sofortigen Nachfragen aus dem Publikum.</w:t>
      </w:r>
    </w:p>
    <w:p w:rsidR="0043199C" w:rsidRDefault="0043199C">
      <w:pPr>
        <w:pStyle w:val="Funotentext"/>
      </w:pPr>
      <w:r w:rsidRPr="0043199C">
        <w:rPr>
          <w:vertAlign w:val="superscript"/>
        </w:rPr>
        <w:t>4a</w:t>
      </w:r>
      <w:r>
        <w:t xml:space="preserve"> Es ist &lt;Strg&gt;+&lt;Umschalt&gt;+&lt;,&gt; oder &lt;Ctrl&gt;+&lt;Shift&gt;+&lt;,&gt;.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86"/>
      <w:gridCol w:w="5776"/>
      <w:gridCol w:w="2310"/>
    </w:tblGrid>
    <w:tr w:rsidR="009067D7" w:rsidTr="00BE6C37">
      <w:tc>
        <w:tcPr>
          <w:tcW w:w="986" w:type="dxa"/>
          <w:vMerge w:val="restart"/>
        </w:tcPr>
        <w:p w:rsidR="009067D7" w:rsidRDefault="009067D7" w:rsidP="00E2209D">
          <w:pPr>
            <w:pStyle w:val="Kopfzeile"/>
            <w:jc w:val="right"/>
            <w:rPr>
              <w:rFonts w:asciiTheme="majorHAnsi" w:hAnsiTheme="majorHAnsi"/>
              <w:spacing w:val="10"/>
              <w:sz w:val="32"/>
              <w:szCs w:val="32"/>
            </w:rPr>
          </w:pPr>
          <w:r w:rsidRPr="00D3310B">
            <w:rPr>
              <w:rFonts w:asciiTheme="majorHAnsi" w:hAnsiTheme="majorHAnsi"/>
              <w:noProof/>
              <w:spacing w:val="10"/>
              <w:sz w:val="32"/>
              <w:szCs w:val="32"/>
              <w:lang w:eastAsia="de-DE"/>
            </w:rPr>
            <w:drawing>
              <wp:inline distT="0" distB="0" distL="0" distR="0" wp14:anchorId="59DDB9C5" wp14:editId="2A2CA5DE">
                <wp:extent cx="493200" cy="496800"/>
                <wp:effectExtent l="0" t="0" r="254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xabay-question-mark-2314111_960_720.jpg"/>
                        <pic:cNvPicPr/>
                      </pic:nvPicPr>
                      <pic:blipFill rotWithShape="1">
                        <a:blip r:embed="rId1" cstate="print">
                          <a:extLst>
                            <a:ext uri="{28A0092B-C50C-407E-A947-70E740481C1C}">
                              <a14:useLocalDpi xmlns:a14="http://schemas.microsoft.com/office/drawing/2010/main" val="0"/>
                            </a:ext>
                          </a:extLst>
                        </a:blip>
                        <a:srcRect t="2491" b="-3106"/>
                        <a:stretch/>
                      </pic:blipFill>
                      <pic:spPr bwMode="auto">
                        <a:xfrm>
                          <a:off x="0" y="0"/>
                          <a:ext cx="493200" cy="496800"/>
                        </a:xfrm>
                        <a:prstGeom prst="rect">
                          <a:avLst/>
                        </a:prstGeom>
                        <a:ln>
                          <a:noFill/>
                        </a:ln>
                        <a:extLst>
                          <a:ext uri="{53640926-AAD7-44D8-BBD7-CCE9431645EC}">
                            <a14:shadowObscured xmlns:a14="http://schemas.microsoft.com/office/drawing/2010/main"/>
                          </a:ext>
                        </a:extLst>
                      </pic:spPr>
                    </pic:pic>
                  </a:graphicData>
                </a:graphic>
              </wp:inline>
            </w:drawing>
          </w:r>
        </w:p>
      </w:tc>
      <w:tc>
        <w:tcPr>
          <w:tcW w:w="5776" w:type="dxa"/>
          <w:tcBorders>
            <w:bottom w:val="single" w:sz="4" w:space="0" w:color="FF3300"/>
          </w:tcBorders>
        </w:tcPr>
        <w:p w:rsidR="009067D7" w:rsidRDefault="009067D7" w:rsidP="00D3310B">
          <w:pPr>
            <w:pStyle w:val="Kopfzeile"/>
            <w:jc w:val="left"/>
            <w:rPr>
              <w:rFonts w:asciiTheme="majorHAnsi" w:hAnsiTheme="majorHAnsi"/>
              <w:spacing w:val="10"/>
              <w:sz w:val="32"/>
              <w:szCs w:val="32"/>
            </w:rPr>
          </w:pPr>
          <w:r w:rsidRPr="00D3310B">
            <w:rPr>
              <w:rFonts w:asciiTheme="majorHAnsi" w:hAnsiTheme="majorHAnsi"/>
              <w:spacing w:val="10"/>
              <w:sz w:val="32"/>
              <w:szCs w:val="32"/>
            </w:rPr>
            <w:t>Lorenz Hölscher:</w:t>
          </w:r>
          <w:r>
            <w:rPr>
              <w:rFonts w:asciiTheme="majorHAnsi" w:hAnsiTheme="majorHAnsi"/>
              <w:spacing w:val="10"/>
              <w:sz w:val="32"/>
              <w:szCs w:val="32"/>
            </w:rPr>
            <w:br/>
          </w:r>
          <w:r w:rsidRPr="00D3310B">
            <w:rPr>
              <w:rFonts w:asciiTheme="majorHAnsi" w:hAnsiTheme="majorHAnsi"/>
              <w:color w:val="E36C0A" w:themeColor="accent6" w:themeShade="BF"/>
              <w:spacing w:val="10"/>
              <w:sz w:val="32"/>
              <w:szCs w:val="32"/>
            </w:rPr>
            <w:t>Anwenderschulung</w:t>
          </w:r>
          <w:r>
            <w:rPr>
              <w:rFonts w:asciiTheme="majorHAnsi" w:hAnsiTheme="majorHAnsi"/>
              <w:color w:val="E36C0A" w:themeColor="accent6" w:themeShade="BF"/>
              <w:spacing w:val="10"/>
              <w:sz w:val="32"/>
              <w:szCs w:val="32"/>
            </w:rPr>
            <w:t>en</w:t>
          </w:r>
          <w:r w:rsidRPr="00D3310B">
            <w:rPr>
              <w:rFonts w:asciiTheme="majorHAnsi" w:hAnsiTheme="majorHAnsi"/>
              <w:color w:val="E36C0A" w:themeColor="accent6" w:themeShade="BF"/>
              <w:spacing w:val="10"/>
              <w:sz w:val="32"/>
              <w:szCs w:val="32"/>
            </w:rPr>
            <w:t xml:space="preserve"> – multi und medial</w:t>
          </w:r>
        </w:p>
      </w:tc>
      <w:tc>
        <w:tcPr>
          <w:tcW w:w="2310" w:type="dxa"/>
          <w:tcBorders>
            <w:bottom w:val="single" w:sz="4" w:space="0" w:color="FF3300"/>
          </w:tcBorders>
        </w:tcPr>
        <w:p w:rsidR="009067D7" w:rsidRPr="00D3310B" w:rsidRDefault="009067D7" w:rsidP="00C5557F">
          <w:pPr>
            <w:pStyle w:val="Kopfzeile"/>
            <w:jc w:val="right"/>
            <w:rPr>
              <w:rFonts w:asciiTheme="majorHAnsi" w:hAnsiTheme="majorHAnsi"/>
              <w:spacing w:val="10"/>
              <w:sz w:val="32"/>
              <w:szCs w:val="32"/>
            </w:rPr>
          </w:pPr>
          <w:r w:rsidRPr="004C27BD">
            <w:rPr>
              <w:rFonts w:asciiTheme="majorHAnsi" w:hAnsiTheme="majorHAnsi"/>
              <w:color w:val="943634" w:themeColor="accent2" w:themeShade="BF"/>
              <w:spacing w:val="10"/>
              <w:sz w:val="32"/>
              <w:szCs w:val="32"/>
            </w:rPr>
            <w:t>AEK 20</w:t>
          </w:r>
          <w:r>
            <w:rPr>
              <w:rFonts w:asciiTheme="majorHAnsi" w:hAnsiTheme="majorHAnsi"/>
              <w:spacing w:val="10"/>
              <w:sz w:val="32"/>
              <w:szCs w:val="32"/>
            </w:rPr>
            <w:br/>
          </w:r>
          <w:r w:rsidRPr="00935272">
            <w:rPr>
              <w:rFonts w:asciiTheme="majorHAnsi" w:hAnsiTheme="majorHAnsi"/>
              <w:color w:val="76923C" w:themeColor="accent3" w:themeShade="BF"/>
              <w:spacing w:val="10"/>
              <w:sz w:val="32"/>
              <w:szCs w:val="32"/>
            </w:rPr>
            <w:t>Herbst 2017</w:t>
          </w:r>
        </w:p>
      </w:tc>
    </w:tr>
    <w:tr w:rsidR="009067D7" w:rsidTr="00BE6C37">
      <w:trPr>
        <w:trHeight w:hRule="exact" w:val="28"/>
      </w:trPr>
      <w:tc>
        <w:tcPr>
          <w:tcW w:w="986" w:type="dxa"/>
          <w:vMerge/>
        </w:tcPr>
        <w:p w:rsidR="009067D7" w:rsidRPr="00D3310B" w:rsidRDefault="009067D7" w:rsidP="00E2209D">
          <w:pPr>
            <w:pStyle w:val="Kopfzeile"/>
            <w:jc w:val="right"/>
            <w:rPr>
              <w:rFonts w:asciiTheme="majorHAnsi" w:hAnsiTheme="majorHAnsi"/>
              <w:noProof/>
              <w:spacing w:val="10"/>
              <w:sz w:val="32"/>
              <w:szCs w:val="32"/>
              <w:lang w:eastAsia="de-DE"/>
            </w:rPr>
          </w:pPr>
        </w:p>
      </w:tc>
      <w:tc>
        <w:tcPr>
          <w:tcW w:w="5776" w:type="dxa"/>
          <w:tcBorders>
            <w:top w:val="single" w:sz="4" w:space="0" w:color="FF3300"/>
          </w:tcBorders>
        </w:tcPr>
        <w:p w:rsidR="009067D7" w:rsidRPr="00D3310B" w:rsidRDefault="009067D7" w:rsidP="00D3310B">
          <w:pPr>
            <w:pStyle w:val="Kopfzeile"/>
            <w:jc w:val="left"/>
            <w:rPr>
              <w:rFonts w:asciiTheme="majorHAnsi" w:hAnsiTheme="majorHAnsi"/>
              <w:spacing w:val="10"/>
              <w:sz w:val="32"/>
              <w:szCs w:val="32"/>
            </w:rPr>
          </w:pPr>
        </w:p>
      </w:tc>
      <w:tc>
        <w:tcPr>
          <w:tcW w:w="2310" w:type="dxa"/>
          <w:tcBorders>
            <w:top w:val="single" w:sz="4" w:space="0" w:color="FF3300"/>
          </w:tcBorders>
        </w:tcPr>
        <w:p w:rsidR="009067D7" w:rsidRPr="004C27BD" w:rsidRDefault="009067D7" w:rsidP="00C5557F">
          <w:pPr>
            <w:pStyle w:val="Kopfzeile"/>
            <w:jc w:val="right"/>
            <w:rPr>
              <w:rFonts w:asciiTheme="majorHAnsi" w:hAnsiTheme="majorHAnsi"/>
              <w:color w:val="943634" w:themeColor="accent2" w:themeShade="BF"/>
              <w:spacing w:val="10"/>
              <w:sz w:val="32"/>
              <w:szCs w:val="32"/>
            </w:rPr>
          </w:pPr>
        </w:p>
      </w:tc>
    </w:tr>
  </w:tbl>
  <w:p w:rsidR="00D3310B" w:rsidRPr="00D3310B" w:rsidRDefault="00D3310B" w:rsidP="00D3310B">
    <w:pPr>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FD66B4B"/>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3EAD3C45"/>
    <w:multiLevelType w:val="hybridMultilevel"/>
    <w:tmpl w:val="C3C4E308"/>
    <w:lvl w:ilvl="0" w:tplc="45A64DCE">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561A"/>
    <w:rsid w:val="00025B16"/>
    <w:rsid w:val="00027862"/>
    <w:rsid w:val="000311C9"/>
    <w:rsid w:val="000465AD"/>
    <w:rsid w:val="0006478C"/>
    <w:rsid w:val="00085832"/>
    <w:rsid w:val="000A3935"/>
    <w:rsid w:val="000A4400"/>
    <w:rsid w:val="000B289E"/>
    <w:rsid w:val="00101DAA"/>
    <w:rsid w:val="00135422"/>
    <w:rsid w:val="00137312"/>
    <w:rsid w:val="00143996"/>
    <w:rsid w:val="00153E4F"/>
    <w:rsid w:val="00163267"/>
    <w:rsid w:val="00165519"/>
    <w:rsid w:val="00182897"/>
    <w:rsid w:val="001839DE"/>
    <w:rsid w:val="001900BD"/>
    <w:rsid w:val="001A474A"/>
    <w:rsid w:val="001C091C"/>
    <w:rsid w:val="001C24C1"/>
    <w:rsid w:val="001D342F"/>
    <w:rsid w:val="001E175B"/>
    <w:rsid w:val="001F5D4D"/>
    <w:rsid w:val="00221F19"/>
    <w:rsid w:val="002534D6"/>
    <w:rsid w:val="00255ADC"/>
    <w:rsid w:val="002700DD"/>
    <w:rsid w:val="00297849"/>
    <w:rsid w:val="002B0FBE"/>
    <w:rsid w:val="002C4A61"/>
    <w:rsid w:val="002F55C3"/>
    <w:rsid w:val="003263B0"/>
    <w:rsid w:val="00327BFF"/>
    <w:rsid w:val="00331F0A"/>
    <w:rsid w:val="00341694"/>
    <w:rsid w:val="00345636"/>
    <w:rsid w:val="00383FAB"/>
    <w:rsid w:val="0038454B"/>
    <w:rsid w:val="003846EC"/>
    <w:rsid w:val="00385E7B"/>
    <w:rsid w:val="0038729D"/>
    <w:rsid w:val="003942F2"/>
    <w:rsid w:val="003A43BA"/>
    <w:rsid w:val="003C2490"/>
    <w:rsid w:val="003C26A6"/>
    <w:rsid w:val="003C6C80"/>
    <w:rsid w:val="003D1677"/>
    <w:rsid w:val="0043199C"/>
    <w:rsid w:val="00435FFE"/>
    <w:rsid w:val="00437CFC"/>
    <w:rsid w:val="0044343C"/>
    <w:rsid w:val="0044519A"/>
    <w:rsid w:val="00455418"/>
    <w:rsid w:val="004804A2"/>
    <w:rsid w:val="004B3E1E"/>
    <w:rsid w:val="004B63AD"/>
    <w:rsid w:val="004C27BD"/>
    <w:rsid w:val="004C2811"/>
    <w:rsid w:val="004D2830"/>
    <w:rsid w:val="004D3308"/>
    <w:rsid w:val="004E2845"/>
    <w:rsid w:val="004E4BA8"/>
    <w:rsid w:val="004E6825"/>
    <w:rsid w:val="005557AF"/>
    <w:rsid w:val="00586301"/>
    <w:rsid w:val="00591BFE"/>
    <w:rsid w:val="005A241C"/>
    <w:rsid w:val="005C0C4A"/>
    <w:rsid w:val="005D5E1C"/>
    <w:rsid w:val="005E116F"/>
    <w:rsid w:val="00600F8B"/>
    <w:rsid w:val="006119E5"/>
    <w:rsid w:val="00633C69"/>
    <w:rsid w:val="00683D65"/>
    <w:rsid w:val="006C713C"/>
    <w:rsid w:val="006D0E9B"/>
    <w:rsid w:val="006E10ED"/>
    <w:rsid w:val="006E6B16"/>
    <w:rsid w:val="00712E78"/>
    <w:rsid w:val="00716AE1"/>
    <w:rsid w:val="007459D6"/>
    <w:rsid w:val="007671CA"/>
    <w:rsid w:val="00770ECF"/>
    <w:rsid w:val="0079185D"/>
    <w:rsid w:val="00791B33"/>
    <w:rsid w:val="007C6C51"/>
    <w:rsid w:val="007D5FC7"/>
    <w:rsid w:val="007E5029"/>
    <w:rsid w:val="008229DE"/>
    <w:rsid w:val="0085464F"/>
    <w:rsid w:val="00855361"/>
    <w:rsid w:val="008A4D73"/>
    <w:rsid w:val="008B0BEC"/>
    <w:rsid w:val="008B2233"/>
    <w:rsid w:val="008E1803"/>
    <w:rsid w:val="009067D7"/>
    <w:rsid w:val="00917E52"/>
    <w:rsid w:val="0093490D"/>
    <w:rsid w:val="00935272"/>
    <w:rsid w:val="0095719F"/>
    <w:rsid w:val="00960688"/>
    <w:rsid w:val="00970E4C"/>
    <w:rsid w:val="00994520"/>
    <w:rsid w:val="009A0E30"/>
    <w:rsid w:val="009A561A"/>
    <w:rsid w:val="009C79D7"/>
    <w:rsid w:val="009F1D83"/>
    <w:rsid w:val="00A21F9D"/>
    <w:rsid w:val="00A26B86"/>
    <w:rsid w:val="00A53641"/>
    <w:rsid w:val="00A547E0"/>
    <w:rsid w:val="00A60606"/>
    <w:rsid w:val="00A67FCF"/>
    <w:rsid w:val="00A70B2B"/>
    <w:rsid w:val="00A83340"/>
    <w:rsid w:val="00A9798B"/>
    <w:rsid w:val="00A97DBA"/>
    <w:rsid w:val="00A97DE8"/>
    <w:rsid w:val="00AA6870"/>
    <w:rsid w:val="00AB5F14"/>
    <w:rsid w:val="00AC6857"/>
    <w:rsid w:val="00AD1F49"/>
    <w:rsid w:val="00AD6547"/>
    <w:rsid w:val="00AE248B"/>
    <w:rsid w:val="00B1331A"/>
    <w:rsid w:val="00B42FFD"/>
    <w:rsid w:val="00B64C36"/>
    <w:rsid w:val="00B650E9"/>
    <w:rsid w:val="00B75149"/>
    <w:rsid w:val="00B848B8"/>
    <w:rsid w:val="00BA1DEF"/>
    <w:rsid w:val="00BA3BD3"/>
    <w:rsid w:val="00BB5143"/>
    <w:rsid w:val="00BD3237"/>
    <w:rsid w:val="00BD4120"/>
    <w:rsid w:val="00BE6C37"/>
    <w:rsid w:val="00BF3AE0"/>
    <w:rsid w:val="00C03153"/>
    <w:rsid w:val="00C44E2F"/>
    <w:rsid w:val="00C47A7B"/>
    <w:rsid w:val="00C5557F"/>
    <w:rsid w:val="00C7350D"/>
    <w:rsid w:val="00C80571"/>
    <w:rsid w:val="00C8143A"/>
    <w:rsid w:val="00C91522"/>
    <w:rsid w:val="00CA1307"/>
    <w:rsid w:val="00CA3BBF"/>
    <w:rsid w:val="00CB1D48"/>
    <w:rsid w:val="00CB5DFE"/>
    <w:rsid w:val="00CC071B"/>
    <w:rsid w:val="00CC3411"/>
    <w:rsid w:val="00CC4656"/>
    <w:rsid w:val="00CD2971"/>
    <w:rsid w:val="00CF5B5D"/>
    <w:rsid w:val="00D04EC7"/>
    <w:rsid w:val="00D13A37"/>
    <w:rsid w:val="00D15552"/>
    <w:rsid w:val="00D204F1"/>
    <w:rsid w:val="00D235E9"/>
    <w:rsid w:val="00D3310B"/>
    <w:rsid w:val="00D540C5"/>
    <w:rsid w:val="00D55703"/>
    <w:rsid w:val="00D6495D"/>
    <w:rsid w:val="00D8228D"/>
    <w:rsid w:val="00D87503"/>
    <w:rsid w:val="00DD7307"/>
    <w:rsid w:val="00E012BD"/>
    <w:rsid w:val="00E02136"/>
    <w:rsid w:val="00E04AB0"/>
    <w:rsid w:val="00E130AF"/>
    <w:rsid w:val="00E2209D"/>
    <w:rsid w:val="00E26023"/>
    <w:rsid w:val="00E33DA2"/>
    <w:rsid w:val="00E40337"/>
    <w:rsid w:val="00E61315"/>
    <w:rsid w:val="00E704AC"/>
    <w:rsid w:val="00E85BC2"/>
    <w:rsid w:val="00E94069"/>
    <w:rsid w:val="00EA1131"/>
    <w:rsid w:val="00ED252A"/>
    <w:rsid w:val="00EF4222"/>
    <w:rsid w:val="00F31362"/>
    <w:rsid w:val="00F316E6"/>
    <w:rsid w:val="00F35412"/>
    <w:rsid w:val="00F4272F"/>
    <w:rsid w:val="00F44AFD"/>
    <w:rsid w:val="00F53CAB"/>
    <w:rsid w:val="00F60982"/>
    <w:rsid w:val="00F74FBE"/>
    <w:rsid w:val="00F81A36"/>
    <w:rsid w:val="00F9308E"/>
    <w:rsid w:val="00FA09DB"/>
    <w:rsid w:val="00FA483D"/>
    <w:rsid w:val="00FB512D"/>
    <w:rsid w:val="00FF483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5F596F"/>
  <w15:docId w15:val="{DCECE600-5843-4FFE-868F-86DC90657F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BB5143"/>
    <w:pPr>
      <w:spacing w:after="80"/>
      <w:jc w:val="both"/>
    </w:pPr>
  </w:style>
  <w:style w:type="paragraph" w:styleId="berschrift1">
    <w:name w:val="heading 1"/>
    <w:basedOn w:val="Standard"/>
    <w:next w:val="Standard"/>
    <w:link w:val="berschrift1Zchn"/>
    <w:uiPriority w:val="9"/>
    <w:qFormat/>
    <w:rsid w:val="0085464F"/>
    <w:pPr>
      <w:keepNext/>
      <w:keepLines/>
      <w:spacing w:before="480" w:after="0"/>
      <w:outlineLvl w:val="0"/>
    </w:pPr>
    <w:rPr>
      <w:rFonts w:asciiTheme="majorHAnsi" w:eastAsiaTheme="majorEastAsia" w:hAnsiTheme="majorHAnsi" w:cstheme="majorBidi"/>
      <w:bCs/>
      <w:color w:val="365F91" w:themeColor="accent1" w:themeShade="BF"/>
      <w:spacing w:val="20"/>
      <w:sz w:val="36"/>
      <w:szCs w:val="28"/>
    </w:rPr>
  </w:style>
  <w:style w:type="paragraph" w:styleId="berschrift2">
    <w:name w:val="heading 2"/>
    <w:basedOn w:val="Standard"/>
    <w:next w:val="Standard"/>
    <w:link w:val="berschrift2Zchn"/>
    <w:uiPriority w:val="9"/>
    <w:unhideWhenUsed/>
    <w:qFormat/>
    <w:rsid w:val="006C713C"/>
    <w:pPr>
      <w:keepNext/>
      <w:keepLines/>
      <w:spacing w:before="200" w:after="0"/>
      <w:outlineLvl w:val="1"/>
    </w:pPr>
    <w:rPr>
      <w:rFonts w:asciiTheme="majorHAnsi" w:eastAsiaTheme="majorEastAsia" w:hAnsiTheme="majorHAnsi" w:cstheme="majorBidi"/>
      <w:bCs/>
      <w:color w:val="E36C0A" w:themeColor="accent6" w:themeShade="BF"/>
      <w:spacing w:val="20"/>
      <w:sz w:val="28"/>
      <w:szCs w:val="26"/>
    </w:rPr>
  </w:style>
  <w:style w:type="paragraph" w:styleId="berschrift3">
    <w:name w:val="heading 3"/>
    <w:basedOn w:val="Standard"/>
    <w:next w:val="Standard"/>
    <w:link w:val="berschrift3Zchn"/>
    <w:uiPriority w:val="9"/>
    <w:unhideWhenUsed/>
    <w:qFormat/>
    <w:rsid w:val="0085464F"/>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5464F"/>
    <w:rPr>
      <w:rFonts w:asciiTheme="majorHAnsi" w:eastAsiaTheme="majorEastAsia" w:hAnsiTheme="majorHAnsi" w:cstheme="majorBidi"/>
      <w:bCs/>
      <w:color w:val="365F91" w:themeColor="accent1" w:themeShade="BF"/>
      <w:spacing w:val="20"/>
      <w:sz w:val="36"/>
      <w:szCs w:val="28"/>
    </w:rPr>
  </w:style>
  <w:style w:type="character" w:customStyle="1" w:styleId="berschrift2Zchn">
    <w:name w:val="Überschrift 2 Zchn"/>
    <w:basedOn w:val="Absatz-Standardschriftart"/>
    <w:link w:val="berschrift2"/>
    <w:uiPriority w:val="9"/>
    <w:rsid w:val="006C713C"/>
    <w:rPr>
      <w:rFonts w:asciiTheme="majorHAnsi" w:eastAsiaTheme="majorEastAsia" w:hAnsiTheme="majorHAnsi" w:cstheme="majorBidi"/>
      <w:bCs/>
      <w:color w:val="E36C0A" w:themeColor="accent6" w:themeShade="BF"/>
      <w:spacing w:val="20"/>
      <w:sz w:val="28"/>
      <w:szCs w:val="26"/>
    </w:rPr>
  </w:style>
  <w:style w:type="paragraph" w:customStyle="1" w:styleId="meineListe">
    <w:name w:val="meineListe"/>
    <w:basedOn w:val="Standard"/>
    <w:qFormat/>
    <w:rsid w:val="004E6825"/>
    <w:pPr>
      <w:ind w:left="340" w:hanging="340"/>
    </w:pPr>
  </w:style>
  <w:style w:type="character" w:customStyle="1" w:styleId="Wichtig">
    <w:name w:val="Wichtig"/>
    <w:basedOn w:val="Absatz-Standardschriftart"/>
    <w:uiPriority w:val="1"/>
    <w:qFormat/>
    <w:rsid w:val="000B289E"/>
    <w:rPr>
      <w:b/>
    </w:rPr>
  </w:style>
  <w:style w:type="character" w:customStyle="1" w:styleId="berschrift3Zchn">
    <w:name w:val="Überschrift 3 Zchn"/>
    <w:basedOn w:val="Absatz-Standardschriftart"/>
    <w:link w:val="berschrift3"/>
    <w:uiPriority w:val="9"/>
    <w:rsid w:val="0085464F"/>
    <w:rPr>
      <w:rFonts w:asciiTheme="majorHAnsi" w:eastAsiaTheme="majorEastAsia" w:hAnsiTheme="majorHAnsi" w:cstheme="majorBidi"/>
      <w:color w:val="243F60" w:themeColor="accent1" w:themeShade="7F"/>
      <w:sz w:val="24"/>
      <w:szCs w:val="24"/>
    </w:rPr>
  </w:style>
  <w:style w:type="paragraph" w:styleId="Kopfzeile">
    <w:name w:val="header"/>
    <w:basedOn w:val="Standard"/>
    <w:link w:val="KopfzeileZchn"/>
    <w:uiPriority w:val="99"/>
    <w:unhideWhenUsed/>
    <w:rsid w:val="00D3310B"/>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3310B"/>
  </w:style>
  <w:style w:type="paragraph" w:styleId="Fuzeile">
    <w:name w:val="footer"/>
    <w:basedOn w:val="Standard"/>
    <w:link w:val="FuzeileZchn"/>
    <w:uiPriority w:val="99"/>
    <w:unhideWhenUsed/>
    <w:rsid w:val="00D3310B"/>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3310B"/>
  </w:style>
  <w:style w:type="table" w:styleId="Tabellenraster">
    <w:name w:val="Table Grid"/>
    <w:basedOn w:val="NormaleTabelle"/>
    <w:uiPriority w:val="59"/>
    <w:rsid w:val="00D331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2B0FBE"/>
    <w:rPr>
      <w:color w:val="0000FF" w:themeColor="hyperlink"/>
      <w:u w:val="single"/>
    </w:rPr>
  </w:style>
  <w:style w:type="paragraph" w:styleId="Funotentext">
    <w:name w:val="footnote text"/>
    <w:basedOn w:val="Standard"/>
    <w:link w:val="FunotentextZchn"/>
    <w:uiPriority w:val="99"/>
    <w:semiHidden/>
    <w:unhideWhenUsed/>
    <w:rsid w:val="00AD6547"/>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AD6547"/>
    <w:rPr>
      <w:sz w:val="20"/>
      <w:szCs w:val="20"/>
    </w:rPr>
  </w:style>
  <w:style w:type="character" w:styleId="Funotenzeichen">
    <w:name w:val="footnote reference"/>
    <w:basedOn w:val="Absatz-Standardschriftart"/>
    <w:uiPriority w:val="99"/>
    <w:semiHidden/>
    <w:unhideWhenUsed/>
    <w:rsid w:val="00AD6547"/>
    <w:rPr>
      <w:vertAlign w:val="superscript"/>
    </w:rPr>
  </w:style>
  <w:style w:type="paragraph" w:styleId="StandardWeb">
    <w:name w:val="Normal (Web)"/>
    <w:basedOn w:val="Standard"/>
    <w:uiPriority w:val="99"/>
    <w:semiHidden/>
    <w:unhideWhenUsed/>
    <w:rsid w:val="00586301"/>
    <w:pPr>
      <w:spacing w:before="100" w:beforeAutospacing="1" w:after="100" w:afterAutospacing="1" w:line="240" w:lineRule="auto"/>
      <w:jc w:val="left"/>
    </w:pPr>
    <w:rPr>
      <w:rFonts w:ascii="Times New Roman" w:eastAsia="Times New Roman" w:hAnsi="Times New Roman" w:cs="Times New Roman"/>
      <w:sz w:val="24"/>
      <w:szCs w:val="24"/>
      <w:lang w:eastAsia="de-DE"/>
    </w:rPr>
  </w:style>
  <w:style w:type="character" w:styleId="Hervorhebung">
    <w:name w:val="Emphasis"/>
    <w:basedOn w:val="Absatz-Standardschriftart"/>
    <w:uiPriority w:val="20"/>
    <w:qFormat/>
    <w:rsid w:val="004B63AD"/>
    <w:rPr>
      <w:i/>
      <w:iCs/>
    </w:rPr>
  </w:style>
  <w:style w:type="table" w:styleId="Listentabelle3Akzent3">
    <w:name w:val="List Table 3 Accent 3"/>
    <w:basedOn w:val="NormaleTabelle"/>
    <w:uiPriority w:val="48"/>
    <w:rsid w:val="00F74FBE"/>
    <w:pPr>
      <w:spacing w:after="0"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Gitternetztabelle5dunkelAkzent1">
    <w:name w:val="Grid Table 5 Dark Accent 1"/>
    <w:basedOn w:val="NormaleTabelle"/>
    <w:uiPriority w:val="50"/>
    <w:rsid w:val="00A6060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4546394">
      <w:bodyDiv w:val="1"/>
      <w:marLeft w:val="0"/>
      <w:marRight w:val="0"/>
      <w:marTop w:val="0"/>
      <w:marBottom w:val="0"/>
      <w:divBdr>
        <w:top w:val="none" w:sz="0" w:space="0" w:color="auto"/>
        <w:left w:val="none" w:sz="0" w:space="0" w:color="auto"/>
        <w:bottom w:val="none" w:sz="0" w:space="0" w:color="auto"/>
        <w:right w:val="none" w:sz="0" w:space="0" w:color="auto"/>
      </w:divBdr>
    </w:div>
    <w:div w:id="230042728">
      <w:bodyDiv w:val="1"/>
      <w:marLeft w:val="0"/>
      <w:marRight w:val="0"/>
      <w:marTop w:val="0"/>
      <w:marBottom w:val="0"/>
      <w:divBdr>
        <w:top w:val="none" w:sz="0" w:space="0" w:color="auto"/>
        <w:left w:val="none" w:sz="0" w:space="0" w:color="auto"/>
        <w:bottom w:val="none" w:sz="0" w:space="0" w:color="auto"/>
        <w:right w:val="none" w:sz="0" w:space="0" w:color="auto"/>
      </w:divBdr>
    </w:div>
    <w:div w:id="454980348">
      <w:bodyDiv w:val="1"/>
      <w:marLeft w:val="0"/>
      <w:marRight w:val="0"/>
      <w:marTop w:val="0"/>
      <w:marBottom w:val="0"/>
      <w:divBdr>
        <w:top w:val="none" w:sz="0" w:space="0" w:color="auto"/>
        <w:left w:val="none" w:sz="0" w:space="0" w:color="auto"/>
        <w:bottom w:val="none" w:sz="0" w:space="0" w:color="auto"/>
        <w:right w:val="none" w:sz="0" w:space="0" w:color="auto"/>
      </w:divBdr>
    </w:div>
    <w:div w:id="666056197">
      <w:bodyDiv w:val="1"/>
      <w:marLeft w:val="0"/>
      <w:marRight w:val="0"/>
      <w:marTop w:val="0"/>
      <w:marBottom w:val="0"/>
      <w:divBdr>
        <w:top w:val="none" w:sz="0" w:space="0" w:color="auto"/>
        <w:left w:val="none" w:sz="0" w:space="0" w:color="auto"/>
        <w:bottom w:val="none" w:sz="0" w:space="0" w:color="auto"/>
        <w:right w:val="none" w:sz="0" w:space="0" w:color="auto"/>
      </w:divBdr>
    </w:div>
    <w:div w:id="721711864">
      <w:bodyDiv w:val="1"/>
      <w:marLeft w:val="0"/>
      <w:marRight w:val="0"/>
      <w:marTop w:val="0"/>
      <w:marBottom w:val="0"/>
      <w:divBdr>
        <w:top w:val="none" w:sz="0" w:space="0" w:color="auto"/>
        <w:left w:val="none" w:sz="0" w:space="0" w:color="auto"/>
        <w:bottom w:val="none" w:sz="0" w:space="0" w:color="auto"/>
        <w:right w:val="none" w:sz="0" w:space="0" w:color="auto"/>
      </w:divBdr>
    </w:div>
    <w:div w:id="789740516">
      <w:bodyDiv w:val="1"/>
      <w:marLeft w:val="0"/>
      <w:marRight w:val="0"/>
      <w:marTop w:val="0"/>
      <w:marBottom w:val="0"/>
      <w:divBdr>
        <w:top w:val="none" w:sz="0" w:space="0" w:color="auto"/>
        <w:left w:val="none" w:sz="0" w:space="0" w:color="auto"/>
        <w:bottom w:val="none" w:sz="0" w:space="0" w:color="auto"/>
        <w:right w:val="none" w:sz="0" w:space="0" w:color="auto"/>
      </w:divBdr>
    </w:div>
    <w:div w:id="791097686">
      <w:bodyDiv w:val="1"/>
      <w:marLeft w:val="0"/>
      <w:marRight w:val="0"/>
      <w:marTop w:val="0"/>
      <w:marBottom w:val="0"/>
      <w:divBdr>
        <w:top w:val="none" w:sz="0" w:space="0" w:color="auto"/>
        <w:left w:val="none" w:sz="0" w:space="0" w:color="auto"/>
        <w:bottom w:val="none" w:sz="0" w:space="0" w:color="auto"/>
        <w:right w:val="none" w:sz="0" w:space="0" w:color="auto"/>
      </w:divBdr>
    </w:div>
    <w:div w:id="1109348345">
      <w:bodyDiv w:val="1"/>
      <w:marLeft w:val="0"/>
      <w:marRight w:val="0"/>
      <w:marTop w:val="0"/>
      <w:marBottom w:val="0"/>
      <w:divBdr>
        <w:top w:val="none" w:sz="0" w:space="0" w:color="auto"/>
        <w:left w:val="none" w:sz="0" w:space="0" w:color="auto"/>
        <w:bottom w:val="none" w:sz="0" w:space="0" w:color="auto"/>
        <w:right w:val="none" w:sz="0" w:space="0" w:color="auto"/>
      </w:divBdr>
    </w:div>
    <w:div w:id="1116020215">
      <w:bodyDiv w:val="1"/>
      <w:marLeft w:val="0"/>
      <w:marRight w:val="0"/>
      <w:marTop w:val="0"/>
      <w:marBottom w:val="0"/>
      <w:divBdr>
        <w:top w:val="none" w:sz="0" w:space="0" w:color="auto"/>
        <w:left w:val="none" w:sz="0" w:space="0" w:color="auto"/>
        <w:bottom w:val="none" w:sz="0" w:space="0" w:color="auto"/>
        <w:right w:val="none" w:sz="0" w:space="0" w:color="auto"/>
      </w:divBdr>
    </w:div>
    <w:div w:id="1145009966">
      <w:bodyDiv w:val="1"/>
      <w:marLeft w:val="0"/>
      <w:marRight w:val="0"/>
      <w:marTop w:val="0"/>
      <w:marBottom w:val="0"/>
      <w:divBdr>
        <w:top w:val="none" w:sz="0" w:space="0" w:color="auto"/>
        <w:left w:val="none" w:sz="0" w:space="0" w:color="auto"/>
        <w:bottom w:val="none" w:sz="0" w:space="0" w:color="auto"/>
        <w:right w:val="none" w:sz="0" w:space="0" w:color="auto"/>
      </w:divBdr>
    </w:div>
    <w:div w:id="1203052528">
      <w:bodyDiv w:val="1"/>
      <w:marLeft w:val="0"/>
      <w:marRight w:val="0"/>
      <w:marTop w:val="0"/>
      <w:marBottom w:val="0"/>
      <w:divBdr>
        <w:top w:val="none" w:sz="0" w:space="0" w:color="auto"/>
        <w:left w:val="none" w:sz="0" w:space="0" w:color="auto"/>
        <w:bottom w:val="none" w:sz="0" w:space="0" w:color="auto"/>
        <w:right w:val="none" w:sz="0" w:space="0" w:color="auto"/>
      </w:divBdr>
    </w:div>
    <w:div w:id="1262445421">
      <w:bodyDiv w:val="1"/>
      <w:marLeft w:val="0"/>
      <w:marRight w:val="0"/>
      <w:marTop w:val="0"/>
      <w:marBottom w:val="0"/>
      <w:divBdr>
        <w:top w:val="none" w:sz="0" w:space="0" w:color="auto"/>
        <w:left w:val="none" w:sz="0" w:space="0" w:color="auto"/>
        <w:bottom w:val="none" w:sz="0" w:space="0" w:color="auto"/>
        <w:right w:val="none" w:sz="0" w:space="0" w:color="auto"/>
      </w:divBdr>
    </w:div>
    <w:div w:id="1345934702">
      <w:bodyDiv w:val="1"/>
      <w:marLeft w:val="0"/>
      <w:marRight w:val="0"/>
      <w:marTop w:val="0"/>
      <w:marBottom w:val="0"/>
      <w:divBdr>
        <w:top w:val="none" w:sz="0" w:space="0" w:color="auto"/>
        <w:left w:val="none" w:sz="0" w:space="0" w:color="auto"/>
        <w:bottom w:val="none" w:sz="0" w:space="0" w:color="auto"/>
        <w:right w:val="none" w:sz="0" w:space="0" w:color="auto"/>
      </w:divBdr>
    </w:div>
    <w:div w:id="1351301713">
      <w:bodyDiv w:val="1"/>
      <w:marLeft w:val="0"/>
      <w:marRight w:val="0"/>
      <w:marTop w:val="0"/>
      <w:marBottom w:val="0"/>
      <w:divBdr>
        <w:top w:val="none" w:sz="0" w:space="0" w:color="auto"/>
        <w:left w:val="none" w:sz="0" w:space="0" w:color="auto"/>
        <w:bottom w:val="none" w:sz="0" w:space="0" w:color="auto"/>
        <w:right w:val="none" w:sz="0" w:space="0" w:color="auto"/>
      </w:divBdr>
    </w:div>
    <w:div w:id="1457214598">
      <w:bodyDiv w:val="1"/>
      <w:marLeft w:val="0"/>
      <w:marRight w:val="0"/>
      <w:marTop w:val="0"/>
      <w:marBottom w:val="0"/>
      <w:divBdr>
        <w:top w:val="none" w:sz="0" w:space="0" w:color="auto"/>
        <w:left w:val="none" w:sz="0" w:space="0" w:color="auto"/>
        <w:bottom w:val="none" w:sz="0" w:space="0" w:color="auto"/>
        <w:right w:val="none" w:sz="0" w:space="0" w:color="auto"/>
      </w:divBdr>
    </w:div>
    <w:div w:id="1497577488">
      <w:bodyDiv w:val="1"/>
      <w:marLeft w:val="0"/>
      <w:marRight w:val="0"/>
      <w:marTop w:val="0"/>
      <w:marBottom w:val="0"/>
      <w:divBdr>
        <w:top w:val="none" w:sz="0" w:space="0" w:color="auto"/>
        <w:left w:val="none" w:sz="0" w:space="0" w:color="auto"/>
        <w:bottom w:val="none" w:sz="0" w:space="0" w:color="auto"/>
        <w:right w:val="none" w:sz="0" w:space="0" w:color="auto"/>
      </w:divBdr>
    </w:div>
    <w:div w:id="1623421999">
      <w:bodyDiv w:val="1"/>
      <w:marLeft w:val="0"/>
      <w:marRight w:val="0"/>
      <w:marTop w:val="0"/>
      <w:marBottom w:val="0"/>
      <w:divBdr>
        <w:top w:val="none" w:sz="0" w:space="0" w:color="auto"/>
        <w:left w:val="none" w:sz="0" w:space="0" w:color="auto"/>
        <w:bottom w:val="none" w:sz="0" w:space="0" w:color="auto"/>
        <w:right w:val="none" w:sz="0" w:space="0" w:color="auto"/>
      </w:divBdr>
    </w:div>
    <w:div w:id="1725786333">
      <w:bodyDiv w:val="1"/>
      <w:marLeft w:val="0"/>
      <w:marRight w:val="0"/>
      <w:marTop w:val="0"/>
      <w:marBottom w:val="0"/>
      <w:divBdr>
        <w:top w:val="none" w:sz="0" w:space="0" w:color="auto"/>
        <w:left w:val="none" w:sz="0" w:space="0" w:color="auto"/>
        <w:bottom w:val="none" w:sz="0" w:space="0" w:color="auto"/>
        <w:right w:val="none" w:sz="0" w:space="0" w:color="auto"/>
      </w:divBdr>
    </w:div>
    <w:div w:id="2044208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jp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jp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onlinemarketing.de/news/aufmerksamkeit-goldfisch-mythos" TargetMode="External"/><Relationship Id="rId20" Type="http://schemas.openxmlformats.org/officeDocument/2006/relationships/image" Target="media/image12.jpeg"/><Relationship Id="rId29" Type="http://schemas.openxmlformats.org/officeDocument/2006/relationships/hyperlink" Target="https://youtu.be/6TMLhQm-Ti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hyperlink" Target="https://www.video2brain.com/de/videotraining/access-hilfe-zur-eigenen-datenbank-anzeigen" TargetMode="Externa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jpg"/><Relationship Id="rId27" Type="http://schemas.openxmlformats.org/officeDocument/2006/relationships/image" Target="media/image19.jpe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0.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EK 20 Gill">
      <a:majorFont>
        <a:latin typeface="Gill_Sans-Bold"/>
        <a:ea typeface=""/>
        <a:cs typeface=""/>
      </a:majorFont>
      <a:minorFont>
        <a:latin typeface="Gill Sans MT"/>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EF4C0F-D16F-4E9D-8C00-C88A594280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5498</Words>
  <Characters>34639</Characters>
  <Application>Microsoft Office Word</Application>
  <DocSecurity>0</DocSecurity>
  <Lines>288</Lines>
  <Paragraphs>80</Paragraphs>
  <ScaleCrop>false</ScaleCrop>
  <HeadingPairs>
    <vt:vector size="2" baseType="variant">
      <vt:variant>
        <vt:lpstr>Titel</vt:lpstr>
      </vt:variant>
      <vt:variant>
        <vt:i4>1</vt:i4>
      </vt:variant>
    </vt:vector>
  </HeadingPairs>
  <TitlesOfParts>
    <vt:vector size="1" baseType="lpstr">
      <vt:lpstr>Anwenderschulungen - multi und medial</vt:lpstr>
    </vt:vector>
  </TitlesOfParts>
  <Company>Software-Dozent (Der LernCoach)</Company>
  <LinksUpToDate>false</LinksUpToDate>
  <CharactersWithSpaces>40057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Anwenderschulungen - multi und medial</dc:title>
  <dc:subject/>
  <dc:creator>Lorenz Hölscher (Heike Hofert)</dc:creator>
  <cp:keywords/>
  <dc:description/>
  <cp:lastModifiedBy>Heike Hofert</cp:lastModifiedBy>
  <cp:revision>139</cp:revision>
  <cp:lastPrinted>2017-09-22T06:39:00Z</cp:lastPrinted>
  <dcterms:created xsi:type="dcterms:W3CDTF">2017-08-12T09:35:00Z</dcterms:created>
  <dcterms:modified xsi:type="dcterms:W3CDTF">2017-10-23T05:49:00Z</dcterms:modified>
  <cp:category>AEK 20</cp:category>
</cp:coreProperties>
</file>